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15E0A" w14:textId="77777777" w:rsidR="00136F1C" w:rsidRPr="00BA2E74" w:rsidRDefault="00136F1C" w:rsidP="00136F1C">
      <w:pPr>
        <w:pStyle w:val="BodyText"/>
        <w:ind w:right="567"/>
        <w:rPr>
          <w:sz w:val="20"/>
          <w:szCs w:val="20"/>
          <w:lang w:val="en-GB"/>
        </w:rPr>
      </w:pPr>
    </w:p>
    <w:p w14:paraId="4FB86569" w14:textId="674D12AD" w:rsidR="00E93145" w:rsidRPr="00BA2E74" w:rsidRDefault="00E93145" w:rsidP="00E93145">
      <w:pPr>
        <w:pStyle w:val="p1"/>
        <w:tabs>
          <w:tab w:val="center" w:pos="4510"/>
        </w:tabs>
        <w:rPr>
          <w:rFonts w:ascii="Tahoma" w:hAnsi="Tahoma" w:cs="Tahoma"/>
          <w:b/>
          <w:bCs/>
          <w:color w:val="F79646"/>
          <w:sz w:val="20"/>
          <w:szCs w:val="20"/>
        </w:rPr>
      </w:pPr>
      <w:r w:rsidRPr="00BA2E74">
        <w:rPr>
          <w:rFonts w:ascii="Tahoma" w:hAnsi="Tahoma" w:cs="Tahoma"/>
          <w:b/>
          <w:bCs/>
          <w:color w:val="F79646"/>
          <w:sz w:val="20"/>
          <w:szCs w:val="20"/>
        </w:rPr>
        <w:t>PRECEDENT GDPR CONTRACT CLAUSE</w:t>
      </w:r>
      <w:r w:rsidRPr="00BA2E74">
        <w:rPr>
          <w:rFonts w:ascii="Tahoma" w:hAnsi="Tahoma" w:cs="Tahoma"/>
          <w:b/>
          <w:bCs/>
          <w:color w:val="F79646"/>
          <w:sz w:val="20"/>
          <w:szCs w:val="20"/>
        </w:rPr>
        <w:tab/>
      </w:r>
    </w:p>
    <w:p w14:paraId="30CB88E5" w14:textId="0B4F7AE8" w:rsidR="003F64B8" w:rsidRDefault="003F64B8" w:rsidP="00E93145">
      <w:pPr>
        <w:pStyle w:val="p1"/>
        <w:rPr>
          <w:rFonts w:ascii="Tahoma" w:hAnsi="Tahoma" w:cs="Tahoma"/>
          <w:bCs/>
          <w:i/>
          <w:sz w:val="20"/>
          <w:szCs w:val="20"/>
        </w:rPr>
      </w:pPr>
      <w:r>
        <w:rPr>
          <w:rFonts w:ascii="Tahoma" w:hAnsi="Tahoma" w:cs="Tahoma"/>
          <w:bCs/>
          <w:i/>
          <w:sz w:val="20"/>
          <w:szCs w:val="20"/>
        </w:rPr>
        <w:t>PLEASE NOTE</w:t>
      </w:r>
    </w:p>
    <w:p w14:paraId="4A1A7B86" w14:textId="3E96C6F1" w:rsidR="00E93145" w:rsidRPr="00BA2E74" w:rsidRDefault="00E93145" w:rsidP="00E93145">
      <w:pPr>
        <w:pStyle w:val="p1"/>
        <w:rPr>
          <w:rFonts w:ascii="Tahoma" w:hAnsi="Tahoma" w:cs="Tahoma"/>
          <w:bCs/>
          <w:i/>
          <w:sz w:val="20"/>
          <w:szCs w:val="20"/>
        </w:rPr>
      </w:pPr>
      <w:r w:rsidRPr="00BA2E74">
        <w:rPr>
          <w:rFonts w:ascii="Tahoma" w:hAnsi="Tahoma" w:cs="Tahoma"/>
          <w:bCs/>
          <w:i/>
          <w:sz w:val="20"/>
          <w:szCs w:val="20"/>
        </w:rPr>
        <w:t xml:space="preserve">A party may argue that they are a Joint Controller. Note the joint and several nature of liabilities under GDPR. See guidance </w:t>
      </w:r>
      <w:hyperlink r:id="rId8" w:history="1">
        <w:r w:rsidRPr="00573AC9">
          <w:rPr>
            <w:rStyle w:val="Hyperlink"/>
            <w:rFonts w:ascii="Tahoma" w:hAnsi="Tahoma" w:cs="Tahoma"/>
            <w:bCs/>
            <w:i/>
            <w:sz w:val="20"/>
            <w:szCs w:val="20"/>
          </w:rPr>
          <w:t>here</w:t>
        </w:r>
      </w:hyperlink>
      <w:r w:rsidRPr="00BA2E74">
        <w:rPr>
          <w:rFonts w:ascii="Tahoma" w:hAnsi="Tahoma" w:cs="Tahoma"/>
          <w:bCs/>
          <w:i/>
          <w:sz w:val="20"/>
          <w:szCs w:val="20"/>
        </w:rPr>
        <w:t xml:space="preserve">. </w:t>
      </w:r>
    </w:p>
    <w:p w14:paraId="5C2130AC" w14:textId="70D7EA9C" w:rsidR="00E93145" w:rsidRPr="00BA2E74" w:rsidRDefault="00E93145" w:rsidP="00E93145">
      <w:pPr>
        <w:pStyle w:val="p1"/>
        <w:rPr>
          <w:rFonts w:ascii="Tahoma" w:hAnsi="Tahoma" w:cs="Tahoma"/>
          <w:bCs/>
          <w:i/>
          <w:sz w:val="20"/>
          <w:szCs w:val="20"/>
        </w:rPr>
      </w:pPr>
      <w:r w:rsidRPr="00BA2E74">
        <w:rPr>
          <w:rFonts w:ascii="Tahoma" w:hAnsi="Tahoma" w:cs="Tahoma"/>
          <w:bCs/>
          <w:i/>
          <w:sz w:val="20"/>
          <w:szCs w:val="20"/>
        </w:rPr>
        <w:t>A party may also ar</w:t>
      </w:r>
      <w:r w:rsidR="005A049B">
        <w:rPr>
          <w:rFonts w:ascii="Tahoma" w:hAnsi="Tahoma" w:cs="Tahoma"/>
          <w:bCs/>
          <w:i/>
          <w:sz w:val="20"/>
          <w:szCs w:val="20"/>
        </w:rPr>
        <w:t xml:space="preserve">gue they are a Data Processor. </w:t>
      </w:r>
      <w:r w:rsidRPr="00BA2E74">
        <w:rPr>
          <w:rFonts w:ascii="Tahoma" w:hAnsi="Tahoma" w:cs="Tahoma"/>
          <w:bCs/>
          <w:i/>
          <w:sz w:val="20"/>
          <w:szCs w:val="20"/>
        </w:rPr>
        <w:t xml:space="preserve">Note that controller-processor terms must be used in this circumstance.  </w:t>
      </w:r>
      <w:bookmarkStart w:id="0" w:name="_GoBack"/>
      <w:bookmarkEnd w:id="0"/>
    </w:p>
    <w:p w14:paraId="273E188B" w14:textId="00552EE6" w:rsidR="00E93145" w:rsidRPr="00BA2E74" w:rsidRDefault="00E93145" w:rsidP="00E93145">
      <w:pPr>
        <w:pStyle w:val="p1"/>
        <w:rPr>
          <w:rFonts w:ascii="Tahoma" w:hAnsi="Tahoma" w:cs="Tahoma"/>
          <w:bCs/>
          <w:i/>
          <w:sz w:val="20"/>
          <w:szCs w:val="20"/>
        </w:rPr>
      </w:pPr>
      <w:r w:rsidRPr="00BA2E74">
        <w:rPr>
          <w:rFonts w:ascii="Tahoma" w:hAnsi="Tahoma" w:cs="Tahoma"/>
          <w:bCs/>
          <w:i/>
          <w:sz w:val="20"/>
          <w:szCs w:val="20"/>
        </w:rPr>
        <w:t>Generally in a standard contractor- intermediary- recruitment business- client scenario it is APSCo’s opinion that the intermediary, recruitment business and client will all be data controllers.</w:t>
      </w:r>
    </w:p>
    <w:p w14:paraId="3B65C39E" w14:textId="77777777" w:rsidR="00E93145" w:rsidRPr="00BA2E74" w:rsidRDefault="00E93145" w:rsidP="00E93145">
      <w:pPr>
        <w:pStyle w:val="p1"/>
        <w:rPr>
          <w:rFonts w:ascii="Tahoma" w:hAnsi="Tahoma" w:cs="Tahoma"/>
          <w:b/>
          <w:bCs/>
          <w:sz w:val="20"/>
          <w:szCs w:val="20"/>
        </w:rPr>
      </w:pPr>
    </w:p>
    <w:p w14:paraId="5E4634B7" w14:textId="4F5BB98C" w:rsidR="00A1717C" w:rsidRPr="00BA2E74" w:rsidRDefault="00A1717C" w:rsidP="00A1717C">
      <w:pPr>
        <w:pStyle w:val="BodyText"/>
        <w:ind w:right="567"/>
        <w:jc w:val="center"/>
        <w:outlineLvl w:val="0"/>
        <w:rPr>
          <w:rFonts w:eastAsiaTheme="minorHAnsi"/>
          <w:b/>
          <w:sz w:val="20"/>
          <w:szCs w:val="20"/>
        </w:rPr>
      </w:pPr>
      <w:r w:rsidRPr="00BA2E74">
        <w:rPr>
          <w:rFonts w:eastAsiaTheme="minorHAnsi"/>
          <w:b/>
          <w:sz w:val="20"/>
          <w:szCs w:val="20"/>
        </w:rPr>
        <w:t>Data Protection Schedule - Client</w:t>
      </w:r>
    </w:p>
    <w:p w14:paraId="46613303" w14:textId="77777777" w:rsidR="00A1717C" w:rsidRPr="00BA2E74" w:rsidRDefault="00A1717C" w:rsidP="00A1717C">
      <w:pPr>
        <w:pStyle w:val="BodyText"/>
        <w:ind w:right="567"/>
        <w:rPr>
          <w:sz w:val="20"/>
          <w:szCs w:val="20"/>
          <w:lang w:val="en-GB"/>
        </w:rPr>
      </w:pPr>
    </w:p>
    <w:p w14:paraId="79734C92" w14:textId="420F1EAF" w:rsidR="00A1717C" w:rsidRPr="00BA2E74" w:rsidRDefault="00A1717C" w:rsidP="00A1717C">
      <w:pPr>
        <w:pStyle w:val="p1"/>
        <w:rPr>
          <w:rFonts w:ascii="Tahoma" w:hAnsi="Tahoma" w:cs="Tahoma"/>
          <w:color w:val="000000" w:themeColor="text1"/>
          <w:sz w:val="20"/>
          <w:szCs w:val="20"/>
        </w:rPr>
      </w:pPr>
      <w:r w:rsidRPr="00BA2E74">
        <w:rPr>
          <w:rFonts w:ascii="Tahoma" w:hAnsi="Tahoma" w:cs="Tahoma"/>
          <w:b/>
          <w:bCs/>
          <w:color w:val="000000" w:themeColor="text1"/>
          <w:sz w:val="20"/>
          <w:szCs w:val="20"/>
        </w:rPr>
        <w:t xml:space="preserve">Data Protection Legislation means </w:t>
      </w:r>
      <w:r w:rsidRPr="00BA2E74">
        <w:rPr>
          <w:rFonts w:ascii="Tahoma" w:hAnsi="Tahoma" w:cs="Tahoma"/>
          <w:color w:val="000000" w:themeColor="text1"/>
          <w:sz w:val="20"/>
          <w:szCs w:val="20"/>
        </w:rPr>
        <w:t>(i) unless and until the GDPR is no longer directly applicable in the UK, the General Data Protection Regulation (</w:t>
      </w:r>
      <w:r w:rsidRPr="00BA2E74">
        <w:rPr>
          <w:rFonts w:ascii="Tahoma" w:hAnsi="Tahoma" w:cs="Tahoma"/>
          <w:i/>
          <w:iCs/>
          <w:color w:val="000000" w:themeColor="text1"/>
          <w:sz w:val="20"/>
          <w:szCs w:val="20"/>
        </w:rPr>
        <w:t>(EU) 2016/679</w:t>
      </w:r>
      <w:r w:rsidRPr="00BA2E74">
        <w:rPr>
          <w:rFonts w:ascii="Tahoma" w:hAnsi="Tahoma" w:cs="Tahoma"/>
          <w:color w:val="000000" w:themeColor="text1"/>
          <w:sz w:val="20"/>
          <w:szCs w:val="20"/>
        </w:rPr>
        <w:t>) and any implemen</w:t>
      </w:r>
      <w:r w:rsidR="003F64B8">
        <w:rPr>
          <w:rFonts w:ascii="Tahoma" w:hAnsi="Tahoma" w:cs="Tahoma"/>
          <w:color w:val="000000" w:themeColor="text1"/>
          <w:sz w:val="20"/>
          <w:szCs w:val="20"/>
        </w:rPr>
        <w:t>ted</w:t>
      </w:r>
      <w:r w:rsidRPr="00BA2E74">
        <w:rPr>
          <w:rFonts w:ascii="Tahoma" w:hAnsi="Tahoma" w:cs="Tahoma"/>
          <w:color w:val="000000" w:themeColor="text1"/>
          <w:sz w:val="20"/>
          <w:szCs w:val="20"/>
        </w:rPr>
        <w:t xml:space="preserve"> </w:t>
      </w:r>
      <w:r w:rsidR="003F64B8" w:rsidRPr="00BA2E74">
        <w:rPr>
          <w:rFonts w:ascii="Tahoma" w:hAnsi="Tahoma" w:cs="Tahoma"/>
          <w:color w:val="000000" w:themeColor="text1"/>
          <w:sz w:val="20"/>
          <w:szCs w:val="20"/>
        </w:rPr>
        <w:t xml:space="preserve">national </w:t>
      </w:r>
      <w:r w:rsidRPr="00BA2E74">
        <w:rPr>
          <w:rFonts w:ascii="Tahoma" w:hAnsi="Tahoma" w:cs="Tahoma"/>
          <w:color w:val="000000" w:themeColor="text1"/>
          <w:sz w:val="20"/>
          <w:szCs w:val="20"/>
        </w:rPr>
        <w:t xml:space="preserve">laws, regulations and secondary legislation, as amended or updated from time to time, in the UK and then (ii) any successor legislation to the GDPR or the Data Protection Act </w:t>
      </w:r>
      <w:r w:rsidR="003F64B8">
        <w:rPr>
          <w:rFonts w:ascii="Tahoma" w:hAnsi="Tahoma" w:cs="Tahoma"/>
          <w:color w:val="000000" w:themeColor="text1"/>
          <w:sz w:val="20"/>
          <w:szCs w:val="20"/>
        </w:rPr>
        <w:t>2018</w:t>
      </w:r>
      <w:r w:rsidRPr="00BA2E74">
        <w:rPr>
          <w:rFonts w:ascii="Tahoma" w:hAnsi="Tahoma" w:cs="Tahoma"/>
          <w:color w:val="000000" w:themeColor="text1"/>
          <w:sz w:val="20"/>
          <w:szCs w:val="20"/>
        </w:rPr>
        <w:t>.</w:t>
      </w:r>
    </w:p>
    <w:p w14:paraId="574D76B9" w14:textId="77777777" w:rsidR="00A1717C" w:rsidRPr="00BA2E74" w:rsidRDefault="00A1717C" w:rsidP="00A1717C">
      <w:pPr>
        <w:pStyle w:val="p2"/>
        <w:rPr>
          <w:rFonts w:ascii="Tahoma" w:hAnsi="Tahoma" w:cs="Tahoma"/>
          <w:color w:val="000000" w:themeColor="text1"/>
          <w:sz w:val="20"/>
          <w:szCs w:val="20"/>
        </w:rPr>
      </w:pPr>
      <w:r w:rsidRPr="00BA2E74">
        <w:rPr>
          <w:rFonts w:ascii="Tahoma" w:hAnsi="Tahoma" w:cs="Tahoma"/>
          <w:color w:val="000000" w:themeColor="text1"/>
          <w:sz w:val="20"/>
          <w:szCs w:val="20"/>
        </w:rPr>
        <w:t> </w:t>
      </w:r>
    </w:p>
    <w:p w14:paraId="619A34F3" w14:textId="77777777" w:rsidR="00A1717C" w:rsidRPr="00BA2E74" w:rsidRDefault="00A1717C" w:rsidP="00A1717C">
      <w:pPr>
        <w:pStyle w:val="p2"/>
        <w:numPr>
          <w:ilvl w:val="0"/>
          <w:numId w:val="2"/>
        </w:numPr>
        <w:rPr>
          <w:rFonts w:ascii="Tahoma" w:hAnsi="Tahoma" w:cs="Tahoma"/>
          <w:color w:val="000000" w:themeColor="text1"/>
          <w:sz w:val="20"/>
          <w:szCs w:val="20"/>
        </w:rPr>
      </w:pPr>
      <w:r w:rsidRPr="00BA2E74">
        <w:rPr>
          <w:rFonts w:ascii="Tahoma" w:hAnsi="Tahoma" w:cs="Tahoma"/>
          <w:color w:val="000000" w:themeColor="text1"/>
          <w:sz w:val="20"/>
          <w:szCs w:val="20"/>
        </w:rPr>
        <w:t>Both parties will comply with all applicable requirements of the Data Protection Legislation. This clause is in addition to, and does not relieve, remove or replace, a party’s obligations under the Data Protection Legislation.</w:t>
      </w:r>
    </w:p>
    <w:p w14:paraId="150C5A70" w14:textId="77777777" w:rsidR="00A1717C" w:rsidRPr="00BA2E74" w:rsidRDefault="00A1717C" w:rsidP="00A1717C">
      <w:pPr>
        <w:pStyle w:val="p2"/>
        <w:ind w:left="644"/>
        <w:rPr>
          <w:rFonts w:ascii="Tahoma" w:hAnsi="Tahoma" w:cs="Tahoma"/>
          <w:color w:val="000000" w:themeColor="text1"/>
          <w:sz w:val="20"/>
          <w:szCs w:val="20"/>
        </w:rPr>
      </w:pPr>
    </w:p>
    <w:p w14:paraId="59016B15" w14:textId="49A000BB" w:rsidR="00A1717C" w:rsidRPr="00BA2E74" w:rsidRDefault="00A1717C" w:rsidP="00A1717C">
      <w:pPr>
        <w:pStyle w:val="p2"/>
        <w:numPr>
          <w:ilvl w:val="0"/>
          <w:numId w:val="2"/>
        </w:numPr>
        <w:rPr>
          <w:rFonts w:ascii="Tahoma" w:hAnsi="Tahoma" w:cs="Tahoma"/>
          <w:color w:val="000000" w:themeColor="text1"/>
          <w:sz w:val="20"/>
          <w:szCs w:val="20"/>
        </w:rPr>
      </w:pPr>
      <w:r w:rsidRPr="00BA2E74">
        <w:rPr>
          <w:rFonts w:ascii="Tahoma" w:hAnsi="Tahoma" w:cs="Tahoma"/>
          <w:color w:val="000000" w:themeColor="text1"/>
          <w:sz w:val="20"/>
          <w:szCs w:val="20"/>
        </w:rPr>
        <w:t xml:space="preserve">The parties acknowledge that for the purposes of the Data Protection Legislation, the </w:t>
      </w:r>
      <w:r w:rsidR="00D94855">
        <w:rPr>
          <w:rFonts w:ascii="Tahoma" w:hAnsi="Tahoma" w:cs="Tahoma"/>
          <w:color w:val="000000" w:themeColor="text1"/>
          <w:sz w:val="20"/>
          <w:szCs w:val="20"/>
        </w:rPr>
        <w:t>parties are independent</w:t>
      </w:r>
      <w:r w:rsidRPr="00BA2E74">
        <w:rPr>
          <w:rFonts w:ascii="Tahoma" w:hAnsi="Tahoma" w:cs="Tahoma"/>
          <w:color w:val="000000" w:themeColor="text1"/>
          <w:sz w:val="20"/>
          <w:szCs w:val="20"/>
        </w:rPr>
        <w:t xml:space="preserve"> Data Controller</w:t>
      </w:r>
      <w:r w:rsidR="00D94855">
        <w:rPr>
          <w:rFonts w:ascii="Tahoma" w:hAnsi="Tahoma" w:cs="Tahoma"/>
          <w:color w:val="000000" w:themeColor="text1"/>
          <w:sz w:val="20"/>
          <w:szCs w:val="20"/>
        </w:rPr>
        <w:t>s</w:t>
      </w:r>
      <w:r w:rsidRPr="00BA2E74">
        <w:rPr>
          <w:rFonts w:ascii="Tahoma" w:hAnsi="Tahoma" w:cs="Tahoma"/>
          <w:color w:val="000000" w:themeColor="text1"/>
          <w:sz w:val="20"/>
          <w:szCs w:val="20"/>
        </w:rPr>
        <w:t xml:space="preserve"> </w:t>
      </w:r>
      <w:r w:rsidR="00D94855">
        <w:rPr>
          <w:rFonts w:ascii="Tahoma" w:hAnsi="Tahoma" w:cs="Tahoma"/>
          <w:color w:val="000000" w:themeColor="text1"/>
          <w:sz w:val="20"/>
          <w:szCs w:val="20"/>
        </w:rPr>
        <w:t>(</w:t>
      </w:r>
      <w:r w:rsidRPr="00BA2E74">
        <w:rPr>
          <w:rFonts w:ascii="Tahoma" w:hAnsi="Tahoma" w:cs="Tahoma"/>
          <w:color w:val="000000" w:themeColor="text1"/>
          <w:sz w:val="20"/>
          <w:szCs w:val="20"/>
        </w:rPr>
        <w:t>where Data Controller has the meaning as defined in the Data Protection Legislation) but they are not Joint Controllers unless a specific agreement is made to that effect between the parties.</w:t>
      </w:r>
    </w:p>
    <w:p w14:paraId="15F63C1A" w14:textId="77777777" w:rsidR="00A1717C" w:rsidRPr="00BA2E74" w:rsidRDefault="00A1717C" w:rsidP="00A1717C">
      <w:pPr>
        <w:pStyle w:val="p2"/>
        <w:rPr>
          <w:rFonts w:ascii="Tahoma" w:hAnsi="Tahoma" w:cs="Tahoma"/>
          <w:color w:val="000000" w:themeColor="text1"/>
          <w:sz w:val="20"/>
          <w:szCs w:val="20"/>
        </w:rPr>
      </w:pPr>
    </w:p>
    <w:p w14:paraId="239DB15B" w14:textId="60B43A41" w:rsidR="0051346A" w:rsidRPr="00BA2E74" w:rsidRDefault="00A1717C" w:rsidP="00A1717C">
      <w:pPr>
        <w:pStyle w:val="p2"/>
        <w:numPr>
          <w:ilvl w:val="0"/>
          <w:numId w:val="2"/>
        </w:numPr>
        <w:rPr>
          <w:rFonts w:ascii="Tahoma" w:hAnsi="Tahoma" w:cs="Tahoma"/>
          <w:color w:val="000000" w:themeColor="text1"/>
          <w:sz w:val="20"/>
          <w:szCs w:val="20"/>
        </w:rPr>
      </w:pPr>
      <w:r w:rsidRPr="00BA2E74">
        <w:rPr>
          <w:rFonts w:ascii="Tahoma" w:hAnsi="Tahoma" w:cs="Tahoma"/>
          <w:color w:val="000000" w:themeColor="text1"/>
          <w:sz w:val="20"/>
          <w:szCs w:val="20"/>
        </w:rPr>
        <w:t>The Company will use all reasonable endeavours to ensure that it has all necessary appropriate consents and notices in place to ensure lawful transfer of Personal Data (as defined in the Data Protection Legislation) to the Client for the purposes of the Agreement.</w:t>
      </w:r>
      <w:r w:rsidR="0051346A">
        <w:rPr>
          <w:rFonts w:ascii="Tahoma" w:hAnsi="Tahoma" w:cs="Tahoma"/>
          <w:color w:val="000000" w:themeColor="text1"/>
          <w:sz w:val="20"/>
          <w:szCs w:val="20"/>
        </w:rPr>
        <w:t xml:space="preserve"> </w:t>
      </w:r>
      <w:r w:rsidRPr="00BA2E74">
        <w:rPr>
          <w:rFonts w:ascii="Tahoma" w:hAnsi="Tahoma" w:cs="Tahoma"/>
          <w:color w:val="000000" w:themeColor="text1"/>
          <w:sz w:val="20"/>
          <w:szCs w:val="20"/>
        </w:rPr>
        <w:t xml:space="preserve">The Client shall ensure it has lawful processing grounds to process the Personal Data once transferred and shall not rely on the Company’s collection of necessary consent and notices given, unless expressly agreed by the parties. </w:t>
      </w:r>
    </w:p>
    <w:p w14:paraId="55E5EED6" w14:textId="77777777" w:rsidR="00A1717C" w:rsidRPr="007833AD" w:rsidRDefault="00A1717C" w:rsidP="007833AD">
      <w:pPr>
        <w:pStyle w:val="p2"/>
        <w:ind w:left="644"/>
        <w:rPr>
          <w:rFonts w:ascii="Tahoma" w:hAnsi="Tahoma" w:cs="Tahoma"/>
          <w:color w:val="000000" w:themeColor="text1"/>
          <w:sz w:val="20"/>
          <w:szCs w:val="20"/>
        </w:rPr>
      </w:pPr>
    </w:p>
    <w:p w14:paraId="59D5877D" w14:textId="28AE6766" w:rsidR="00D94855" w:rsidRPr="007833AD" w:rsidRDefault="00A1717C" w:rsidP="007833AD">
      <w:pPr>
        <w:pStyle w:val="p2"/>
        <w:numPr>
          <w:ilvl w:val="0"/>
          <w:numId w:val="2"/>
        </w:numPr>
        <w:rPr>
          <w:rFonts w:ascii="Tahoma" w:hAnsi="Tahoma" w:cs="Tahoma"/>
          <w:color w:val="000000" w:themeColor="text1"/>
          <w:sz w:val="20"/>
          <w:szCs w:val="20"/>
        </w:rPr>
      </w:pPr>
      <w:r w:rsidRPr="00D94855">
        <w:rPr>
          <w:rFonts w:ascii="Tahoma" w:hAnsi="Tahoma" w:cs="Tahoma"/>
          <w:color w:val="000000" w:themeColor="text1"/>
          <w:sz w:val="20"/>
          <w:szCs w:val="20"/>
        </w:rPr>
        <w:t>The Client shall only process a Consultant’s Personal Data for the agreed purposes for which an introduction was made and the Personal Data transferred, including with regard to transfers of data outside the EEA to a third country, unless it first obtains all necessary appropriate consents from the Data Subject (as defined in the Data Protection Legislation)</w:t>
      </w:r>
      <w:r w:rsidR="0051346A">
        <w:rPr>
          <w:rFonts w:ascii="Tahoma" w:hAnsi="Tahoma" w:cs="Tahoma"/>
          <w:color w:val="000000" w:themeColor="text1"/>
          <w:sz w:val="20"/>
          <w:szCs w:val="20"/>
        </w:rPr>
        <w:t xml:space="preserve"> and</w:t>
      </w:r>
      <w:r w:rsidRPr="0051346A">
        <w:rPr>
          <w:rFonts w:ascii="Tahoma" w:hAnsi="Tahoma" w:cs="Tahoma"/>
          <w:color w:val="000000" w:themeColor="text1"/>
          <w:sz w:val="20"/>
          <w:szCs w:val="20"/>
        </w:rPr>
        <w:t xml:space="preserve"> provides necess</w:t>
      </w:r>
      <w:r w:rsidR="00D94855" w:rsidRPr="0051346A">
        <w:rPr>
          <w:rFonts w:ascii="Tahoma" w:hAnsi="Tahoma" w:cs="Tahoma"/>
          <w:color w:val="000000" w:themeColor="text1"/>
          <w:sz w:val="20"/>
          <w:szCs w:val="20"/>
        </w:rPr>
        <w:t>ary notices to the Data Subject.</w:t>
      </w:r>
      <w:r w:rsidR="0051346A">
        <w:rPr>
          <w:rFonts w:ascii="Tahoma" w:hAnsi="Tahoma" w:cs="Tahoma"/>
          <w:color w:val="000000" w:themeColor="text1"/>
          <w:sz w:val="20"/>
          <w:szCs w:val="20"/>
        </w:rPr>
        <w:t xml:space="preserve"> </w:t>
      </w:r>
      <w:r w:rsidR="00D94855" w:rsidRPr="0051346A">
        <w:rPr>
          <w:rFonts w:ascii="Tahoma" w:hAnsi="Tahoma" w:cs="Tahoma"/>
          <w:color w:val="000000" w:themeColor="text1"/>
          <w:sz w:val="20"/>
          <w:szCs w:val="20"/>
        </w:rPr>
        <w:t xml:space="preserve">The </w:t>
      </w:r>
      <w:r w:rsidRPr="0051346A">
        <w:rPr>
          <w:rFonts w:ascii="Tahoma" w:hAnsi="Tahoma" w:cs="Tahoma"/>
          <w:color w:val="000000" w:themeColor="text1"/>
          <w:sz w:val="20"/>
          <w:szCs w:val="20"/>
        </w:rPr>
        <w:t xml:space="preserve">Client </w:t>
      </w:r>
      <w:r w:rsidR="00D94855" w:rsidRPr="0051346A">
        <w:rPr>
          <w:rFonts w:ascii="Tahoma" w:hAnsi="Tahoma" w:cs="Tahoma"/>
          <w:color w:val="000000" w:themeColor="text1"/>
          <w:sz w:val="20"/>
          <w:szCs w:val="20"/>
        </w:rPr>
        <w:t>is not permitted</w:t>
      </w:r>
      <w:r w:rsidRPr="0051346A">
        <w:rPr>
          <w:rFonts w:ascii="Tahoma" w:hAnsi="Tahoma" w:cs="Tahoma"/>
          <w:color w:val="000000" w:themeColor="text1"/>
          <w:sz w:val="20"/>
          <w:szCs w:val="20"/>
        </w:rPr>
        <w:t xml:space="preserve"> to process information beyond that reaso</w:t>
      </w:r>
      <w:r w:rsidR="00D94855" w:rsidRPr="0051346A">
        <w:rPr>
          <w:rFonts w:ascii="Tahoma" w:hAnsi="Tahoma" w:cs="Tahoma"/>
          <w:color w:val="000000" w:themeColor="text1"/>
          <w:sz w:val="20"/>
          <w:szCs w:val="20"/>
        </w:rPr>
        <w:t>nably envisaged by the Company.</w:t>
      </w:r>
    </w:p>
    <w:p w14:paraId="1A30B67D" w14:textId="77777777" w:rsidR="00D94855" w:rsidRPr="00D94855" w:rsidRDefault="00D94855" w:rsidP="00D94855">
      <w:pPr>
        <w:pStyle w:val="p2"/>
        <w:ind w:left="644"/>
        <w:rPr>
          <w:rFonts w:ascii="Tahoma" w:hAnsi="Tahoma" w:cs="Tahoma"/>
          <w:color w:val="000000" w:themeColor="text1"/>
          <w:sz w:val="20"/>
          <w:szCs w:val="20"/>
        </w:rPr>
      </w:pPr>
    </w:p>
    <w:p w14:paraId="774DE118" w14:textId="2CC0E3A0" w:rsidR="00A1717C" w:rsidRPr="00BA2E74" w:rsidRDefault="00A1717C" w:rsidP="00A1717C">
      <w:pPr>
        <w:pStyle w:val="p2"/>
        <w:numPr>
          <w:ilvl w:val="0"/>
          <w:numId w:val="2"/>
        </w:numPr>
        <w:rPr>
          <w:rFonts w:ascii="Tahoma" w:hAnsi="Tahoma" w:cs="Tahoma"/>
          <w:color w:val="000000" w:themeColor="text1"/>
          <w:sz w:val="20"/>
          <w:szCs w:val="20"/>
        </w:rPr>
      </w:pPr>
      <w:r w:rsidRPr="00BA2E74">
        <w:rPr>
          <w:rFonts w:ascii="Tahoma" w:hAnsi="Tahoma" w:cs="Tahoma"/>
          <w:color w:val="000000" w:themeColor="text1"/>
          <w:sz w:val="20"/>
          <w:szCs w:val="20"/>
        </w:rPr>
        <w:t>The parties shall ensure that:</w:t>
      </w:r>
    </w:p>
    <w:p w14:paraId="138737C9" w14:textId="77777777" w:rsidR="00A1717C" w:rsidRPr="00BA2E74" w:rsidRDefault="00A1717C" w:rsidP="00A1717C">
      <w:pPr>
        <w:pStyle w:val="p2"/>
        <w:rPr>
          <w:rFonts w:ascii="Tahoma" w:hAnsi="Tahoma" w:cs="Tahoma"/>
          <w:color w:val="000000" w:themeColor="text1"/>
          <w:sz w:val="20"/>
          <w:szCs w:val="20"/>
        </w:rPr>
      </w:pPr>
    </w:p>
    <w:p w14:paraId="26373E18" w14:textId="77777777" w:rsidR="00BA2E74" w:rsidRPr="00BA2E74" w:rsidRDefault="00A1717C" w:rsidP="00BA2E74">
      <w:pPr>
        <w:pStyle w:val="p2"/>
        <w:numPr>
          <w:ilvl w:val="1"/>
          <w:numId w:val="3"/>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 xml:space="preserve">they have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w:t>
      </w:r>
      <w:r w:rsidRPr="00BA2E74">
        <w:rPr>
          <w:rFonts w:ascii="Tahoma" w:eastAsia="Times New Roman" w:hAnsi="Tahoma" w:cs="Tahoma"/>
          <w:color w:val="000000" w:themeColor="text1"/>
          <w:sz w:val="20"/>
          <w:szCs w:val="20"/>
        </w:rPr>
        <w:lastRenderedPageBreak/>
        <w:t>an incident, and regularly assessing and evaluating the effectiveness of the technical and organisational measures adopted by it);</w:t>
      </w:r>
    </w:p>
    <w:p w14:paraId="6978C24C" w14:textId="77777777" w:rsidR="00BA2E74" w:rsidRDefault="00BA2E74" w:rsidP="00BA2E74">
      <w:pPr>
        <w:pStyle w:val="p2"/>
        <w:ind w:left="1364"/>
        <w:rPr>
          <w:rFonts w:ascii="Tahoma" w:hAnsi="Tahoma" w:cs="Tahoma"/>
          <w:color w:val="000000" w:themeColor="text1"/>
          <w:sz w:val="20"/>
          <w:szCs w:val="20"/>
        </w:rPr>
      </w:pPr>
    </w:p>
    <w:p w14:paraId="30CB8513" w14:textId="77777777" w:rsidR="00BA2E74" w:rsidRDefault="00A1717C" w:rsidP="00BA2E74">
      <w:pPr>
        <w:pStyle w:val="p2"/>
        <w:numPr>
          <w:ilvl w:val="1"/>
          <w:numId w:val="3"/>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 xml:space="preserve">all personnel who have access to and/or process Personal Data are obliged to keep the Personal Data confidential; </w:t>
      </w:r>
    </w:p>
    <w:p w14:paraId="108D3E77" w14:textId="77777777" w:rsidR="00BA2E74" w:rsidRDefault="00BA2E74" w:rsidP="00BA2E74">
      <w:pPr>
        <w:pStyle w:val="ListParagraph"/>
        <w:rPr>
          <w:rFonts w:ascii="Tahoma" w:eastAsia="Times New Roman" w:hAnsi="Tahoma" w:cs="Tahoma"/>
          <w:color w:val="000000" w:themeColor="text1"/>
          <w:sz w:val="20"/>
          <w:szCs w:val="20"/>
        </w:rPr>
      </w:pPr>
    </w:p>
    <w:p w14:paraId="5A389F9A" w14:textId="77777777" w:rsidR="00BA2E74" w:rsidRDefault="00A1717C" w:rsidP="00BA2E74">
      <w:pPr>
        <w:pStyle w:val="p2"/>
        <w:numPr>
          <w:ilvl w:val="1"/>
          <w:numId w:val="3"/>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the Data Subject has enforceable rights and effective legal remedies;</w:t>
      </w:r>
    </w:p>
    <w:p w14:paraId="14237F54" w14:textId="77777777" w:rsidR="00BA2E74" w:rsidRDefault="00BA2E74" w:rsidP="00BA2E74">
      <w:pPr>
        <w:pStyle w:val="ListParagraph"/>
        <w:rPr>
          <w:rFonts w:ascii="Tahoma" w:eastAsia="Times New Roman" w:hAnsi="Tahoma" w:cs="Tahoma"/>
          <w:color w:val="000000" w:themeColor="text1"/>
          <w:sz w:val="20"/>
          <w:szCs w:val="20"/>
        </w:rPr>
      </w:pPr>
    </w:p>
    <w:p w14:paraId="241F72E1" w14:textId="77777777" w:rsidR="00BA2E74" w:rsidRDefault="00A1717C" w:rsidP="00BA2E74">
      <w:pPr>
        <w:pStyle w:val="p2"/>
        <w:numPr>
          <w:ilvl w:val="1"/>
          <w:numId w:val="3"/>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they provide reasonable assistance to the other in responding to any request from a Data Subject and in ensuring compliance with their respective obligations under the Data Protection Legislation with respect to data subject access requests and other data subject rights, data security, breach notifications, impact assessments and consultations with supervisory authorities or regulators;</w:t>
      </w:r>
    </w:p>
    <w:p w14:paraId="039F8EC6" w14:textId="77777777" w:rsidR="00BA2E74" w:rsidRDefault="00BA2E74" w:rsidP="00BA2E74">
      <w:pPr>
        <w:pStyle w:val="ListParagraph"/>
        <w:rPr>
          <w:rFonts w:ascii="Tahoma" w:eastAsia="Times New Roman" w:hAnsi="Tahoma" w:cs="Tahoma"/>
          <w:color w:val="000000" w:themeColor="text1"/>
          <w:sz w:val="20"/>
          <w:szCs w:val="20"/>
        </w:rPr>
      </w:pPr>
    </w:p>
    <w:p w14:paraId="43EF730C" w14:textId="2609211D" w:rsidR="00BA2E74" w:rsidRDefault="00A1717C" w:rsidP="00BA2E74">
      <w:pPr>
        <w:pStyle w:val="p2"/>
        <w:numPr>
          <w:ilvl w:val="1"/>
          <w:numId w:val="3"/>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 xml:space="preserve">they notify the other </w:t>
      </w:r>
      <w:r w:rsidR="00D413F1">
        <w:rPr>
          <w:rFonts w:ascii="Tahoma" w:eastAsia="Times New Roman" w:hAnsi="Tahoma" w:cs="Tahoma"/>
          <w:color w:val="000000" w:themeColor="text1"/>
          <w:sz w:val="20"/>
          <w:szCs w:val="20"/>
        </w:rPr>
        <w:t xml:space="preserve">party </w:t>
      </w:r>
      <w:r w:rsidRPr="00BA2E74">
        <w:rPr>
          <w:rFonts w:ascii="Tahoma" w:eastAsia="Times New Roman" w:hAnsi="Tahoma" w:cs="Tahoma"/>
          <w:color w:val="000000" w:themeColor="text1"/>
          <w:sz w:val="20"/>
          <w:szCs w:val="20"/>
        </w:rPr>
        <w:t>without undue delay on becoming aware of a Personal Data breach relevant to Personal Data transferred pursuant to this Agreement; and</w:t>
      </w:r>
    </w:p>
    <w:p w14:paraId="05890B02" w14:textId="77777777" w:rsidR="00BA2E74" w:rsidRDefault="00BA2E74" w:rsidP="00BA2E74">
      <w:pPr>
        <w:pStyle w:val="ListParagraph"/>
        <w:rPr>
          <w:rFonts w:ascii="Tahoma" w:eastAsia="Times New Roman" w:hAnsi="Tahoma" w:cs="Tahoma"/>
          <w:color w:val="000000" w:themeColor="text1"/>
          <w:sz w:val="20"/>
          <w:szCs w:val="20"/>
        </w:rPr>
      </w:pPr>
    </w:p>
    <w:p w14:paraId="6854CAE0" w14:textId="7EE9353B" w:rsidR="00A1717C" w:rsidRPr="00BA2E74" w:rsidRDefault="00A1717C" w:rsidP="00BA2E74">
      <w:pPr>
        <w:pStyle w:val="p2"/>
        <w:numPr>
          <w:ilvl w:val="1"/>
          <w:numId w:val="3"/>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they</w:t>
      </w:r>
      <w:r w:rsidR="00D413F1">
        <w:rPr>
          <w:rFonts w:ascii="Tahoma" w:eastAsia="Times New Roman" w:hAnsi="Tahoma" w:cs="Tahoma"/>
          <w:color w:val="000000" w:themeColor="text1"/>
          <w:sz w:val="20"/>
          <w:szCs w:val="20"/>
        </w:rPr>
        <w:t xml:space="preserve"> </w:t>
      </w:r>
      <w:r w:rsidRPr="00BA2E74">
        <w:rPr>
          <w:rFonts w:ascii="Tahoma" w:eastAsia="Times New Roman" w:hAnsi="Tahoma" w:cs="Tahoma"/>
          <w:color w:val="000000" w:themeColor="text1"/>
          <w:sz w:val="20"/>
          <w:szCs w:val="20"/>
        </w:rPr>
        <w:t>maintain complete and accurate records and information to demonstrate their compliance with this </w:t>
      </w:r>
      <w:r w:rsidRPr="00BA2E74">
        <w:rPr>
          <w:rFonts w:ascii="Tahoma" w:eastAsia="Times New Roman" w:hAnsi="Tahoma" w:cs="Tahoma"/>
          <w:iCs/>
          <w:color w:val="000000" w:themeColor="text1"/>
          <w:sz w:val="20"/>
          <w:szCs w:val="20"/>
        </w:rPr>
        <w:t>Data Protection Schedule.</w:t>
      </w:r>
    </w:p>
    <w:p w14:paraId="1CCFB762" w14:textId="77777777" w:rsidR="00A1717C" w:rsidRPr="00BA2E74" w:rsidRDefault="00A1717C" w:rsidP="00A1717C">
      <w:pPr>
        <w:pStyle w:val="BodyText"/>
        <w:ind w:right="567"/>
        <w:rPr>
          <w:rFonts w:eastAsiaTheme="minorHAnsi"/>
          <w:color w:val="000000" w:themeColor="text1"/>
          <w:sz w:val="20"/>
          <w:szCs w:val="20"/>
        </w:rPr>
      </w:pPr>
    </w:p>
    <w:p w14:paraId="5598E8B4" w14:textId="77777777" w:rsidR="00BA2E74" w:rsidRDefault="00A1717C" w:rsidP="00BA2E74">
      <w:pPr>
        <w:pStyle w:val="BodyText"/>
        <w:numPr>
          <w:ilvl w:val="0"/>
          <w:numId w:val="2"/>
        </w:numPr>
        <w:ind w:right="95"/>
        <w:rPr>
          <w:rFonts w:eastAsiaTheme="minorHAnsi"/>
          <w:color w:val="000000" w:themeColor="text1"/>
          <w:sz w:val="20"/>
          <w:szCs w:val="20"/>
        </w:rPr>
      </w:pPr>
      <w:r w:rsidRPr="00BA2E74">
        <w:rPr>
          <w:rFonts w:eastAsiaTheme="minorHAnsi"/>
          <w:color w:val="000000" w:themeColor="text1"/>
          <w:sz w:val="20"/>
          <w:szCs w:val="20"/>
        </w:rPr>
        <w:t>The Client shall where required make available to the Company all information necessary to demonstrate compliance with the obligations associated with Data Protection Legislation and this clause and allow for audits and inspections in order to ensure compliance throu</w:t>
      </w:r>
      <w:r w:rsidR="00BA2E74">
        <w:rPr>
          <w:rFonts w:eastAsiaTheme="minorHAnsi"/>
          <w:color w:val="000000" w:themeColor="text1"/>
          <w:sz w:val="20"/>
          <w:szCs w:val="20"/>
        </w:rPr>
        <w:t>ghout the Company supply chain.</w:t>
      </w:r>
    </w:p>
    <w:p w14:paraId="1646094B" w14:textId="77777777" w:rsidR="00BA2E74" w:rsidRDefault="00BA2E74" w:rsidP="00BA2E74">
      <w:pPr>
        <w:pStyle w:val="BodyText"/>
        <w:ind w:left="644" w:right="95"/>
        <w:rPr>
          <w:rFonts w:eastAsiaTheme="minorHAnsi"/>
          <w:color w:val="000000" w:themeColor="text1"/>
          <w:sz w:val="20"/>
          <w:szCs w:val="20"/>
        </w:rPr>
      </w:pPr>
    </w:p>
    <w:p w14:paraId="4DEF5342" w14:textId="53AC1CE8" w:rsidR="00BA2E74" w:rsidRDefault="00A1717C" w:rsidP="00BA2E74">
      <w:pPr>
        <w:pStyle w:val="BodyText"/>
        <w:numPr>
          <w:ilvl w:val="0"/>
          <w:numId w:val="2"/>
        </w:numPr>
        <w:ind w:right="95"/>
        <w:rPr>
          <w:rFonts w:eastAsiaTheme="minorHAnsi"/>
          <w:color w:val="000000" w:themeColor="text1"/>
          <w:sz w:val="20"/>
          <w:szCs w:val="20"/>
        </w:rPr>
      </w:pPr>
      <w:r w:rsidRPr="00BA2E74">
        <w:rPr>
          <w:rFonts w:eastAsiaTheme="minorHAnsi"/>
          <w:color w:val="000000" w:themeColor="text1"/>
          <w:sz w:val="20"/>
          <w:szCs w:val="20"/>
        </w:rPr>
        <w:t>Notwithstanding sub clauses 5.4 and 5.5</w:t>
      </w:r>
      <w:r w:rsidRPr="00BA2E74">
        <w:rPr>
          <w:rFonts w:eastAsiaTheme="minorHAnsi"/>
          <w:b/>
          <w:color w:val="000000" w:themeColor="text1"/>
          <w:sz w:val="20"/>
          <w:szCs w:val="20"/>
        </w:rPr>
        <w:t xml:space="preserve">, </w:t>
      </w:r>
      <w:r w:rsidRPr="00BA2E74">
        <w:rPr>
          <w:rFonts w:eastAsiaTheme="minorHAnsi"/>
          <w:color w:val="000000" w:themeColor="text1"/>
          <w:sz w:val="20"/>
          <w:szCs w:val="20"/>
        </w:rPr>
        <w:t>in the event of any suspected or actual breach of Data Protection Legislation, the Client shall (at its own expense):</w:t>
      </w:r>
    </w:p>
    <w:p w14:paraId="2277E2E8" w14:textId="77777777" w:rsidR="00BA2E74" w:rsidRDefault="00BA2E74" w:rsidP="00BA2E74">
      <w:pPr>
        <w:pStyle w:val="ListParagraph"/>
        <w:rPr>
          <w:color w:val="000000" w:themeColor="text1"/>
          <w:sz w:val="20"/>
          <w:szCs w:val="20"/>
        </w:rPr>
      </w:pPr>
    </w:p>
    <w:p w14:paraId="1C1A214C" w14:textId="77777777" w:rsidR="00BA2E74" w:rsidRDefault="00A1717C" w:rsidP="00BA2E74">
      <w:pPr>
        <w:pStyle w:val="BodyText"/>
        <w:numPr>
          <w:ilvl w:val="1"/>
          <w:numId w:val="4"/>
        </w:numPr>
        <w:ind w:right="95"/>
        <w:rPr>
          <w:rFonts w:eastAsiaTheme="minorHAnsi"/>
          <w:color w:val="000000" w:themeColor="text1"/>
          <w:sz w:val="20"/>
          <w:szCs w:val="20"/>
        </w:rPr>
      </w:pPr>
      <w:r w:rsidRPr="00BA2E74">
        <w:rPr>
          <w:rFonts w:eastAsiaTheme="minorHAnsi"/>
          <w:color w:val="000000" w:themeColor="text1"/>
          <w:sz w:val="20"/>
          <w:szCs w:val="20"/>
        </w:rPr>
        <w:t>notify Company immediately; and</w:t>
      </w:r>
    </w:p>
    <w:p w14:paraId="0500A948" w14:textId="77777777" w:rsidR="00BA2E74" w:rsidRDefault="00BA2E74" w:rsidP="00BA2E74">
      <w:pPr>
        <w:pStyle w:val="BodyText"/>
        <w:ind w:left="1004" w:right="95"/>
        <w:rPr>
          <w:rFonts w:eastAsiaTheme="minorHAnsi"/>
          <w:color w:val="000000" w:themeColor="text1"/>
          <w:sz w:val="20"/>
          <w:szCs w:val="20"/>
        </w:rPr>
      </w:pPr>
    </w:p>
    <w:p w14:paraId="6A6C579E" w14:textId="317C34C1" w:rsidR="00A1717C" w:rsidRPr="00BA2E74" w:rsidRDefault="00A1717C" w:rsidP="00BA2E74">
      <w:pPr>
        <w:pStyle w:val="BodyText"/>
        <w:numPr>
          <w:ilvl w:val="1"/>
          <w:numId w:val="4"/>
        </w:numPr>
        <w:ind w:right="95"/>
        <w:rPr>
          <w:rFonts w:eastAsiaTheme="minorHAnsi"/>
          <w:color w:val="000000" w:themeColor="text1"/>
          <w:sz w:val="20"/>
          <w:szCs w:val="20"/>
        </w:rPr>
      </w:pPr>
      <w:r w:rsidRPr="00BA2E74">
        <w:rPr>
          <w:rFonts w:eastAsiaTheme="minorHAnsi"/>
          <w:color w:val="000000" w:themeColor="text1"/>
          <w:sz w:val="20"/>
          <w:szCs w:val="20"/>
        </w:rPr>
        <w:t>provide such information, assistance and cooperation and do such things as Company may request to (i) investigate and defend any claim or regulatory investigation; (ii) mitigate, remedy and/or rectify such breach; and (iii) prevent future breaches.</w:t>
      </w:r>
    </w:p>
    <w:p w14:paraId="1657A51B" w14:textId="596A3D10" w:rsidR="00A1717C" w:rsidRPr="00BA2E74" w:rsidRDefault="00A1717C">
      <w:pPr>
        <w:spacing w:after="0" w:line="240" w:lineRule="auto"/>
        <w:rPr>
          <w:rFonts w:ascii="Tahoma" w:hAnsi="Tahoma" w:cs="Tahoma"/>
          <w:sz w:val="20"/>
          <w:szCs w:val="20"/>
          <w:lang w:val="en-US"/>
        </w:rPr>
      </w:pPr>
      <w:r w:rsidRPr="00BA2E74">
        <w:rPr>
          <w:rFonts w:ascii="Tahoma" w:hAnsi="Tahoma" w:cs="Tahoma"/>
          <w:sz w:val="20"/>
          <w:szCs w:val="20"/>
        </w:rPr>
        <w:br w:type="page"/>
      </w:r>
    </w:p>
    <w:p w14:paraId="5BB56188" w14:textId="77777777" w:rsidR="00B725D2" w:rsidRPr="00BA2E74" w:rsidRDefault="00B725D2" w:rsidP="00B725D2">
      <w:pPr>
        <w:pStyle w:val="BodyText"/>
        <w:ind w:left="1134" w:right="567"/>
        <w:rPr>
          <w:rFonts w:eastAsiaTheme="minorHAnsi"/>
          <w:sz w:val="20"/>
          <w:szCs w:val="20"/>
        </w:rPr>
      </w:pPr>
    </w:p>
    <w:p w14:paraId="102545EE" w14:textId="77777777" w:rsidR="00A1717C" w:rsidRPr="00BA2E74" w:rsidRDefault="00A1717C" w:rsidP="00A1717C">
      <w:pPr>
        <w:pStyle w:val="BodyText"/>
        <w:ind w:right="567"/>
        <w:jc w:val="center"/>
        <w:outlineLvl w:val="0"/>
        <w:rPr>
          <w:rFonts w:eastAsiaTheme="minorHAnsi"/>
          <w:b/>
          <w:sz w:val="20"/>
          <w:szCs w:val="20"/>
        </w:rPr>
      </w:pPr>
      <w:r w:rsidRPr="00BA2E74">
        <w:rPr>
          <w:rFonts w:eastAsiaTheme="minorHAnsi"/>
          <w:b/>
          <w:sz w:val="20"/>
          <w:szCs w:val="20"/>
        </w:rPr>
        <w:t>Data Protection Schedule - Contractor</w:t>
      </w:r>
    </w:p>
    <w:p w14:paraId="00F87CA7" w14:textId="77777777" w:rsidR="00A1717C" w:rsidRPr="00BA2E74" w:rsidRDefault="00A1717C" w:rsidP="00A1717C">
      <w:pPr>
        <w:pStyle w:val="BodyText"/>
        <w:ind w:left="1134" w:right="567"/>
        <w:rPr>
          <w:rFonts w:eastAsiaTheme="minorHAnsi"/>
          <w:sz w:val="20"/>
          <w:szCs w:val="20"/>
        </w:rPr>
      </w:pPr>
    </w:p>
    <w:p w14:paraId="57D2C731" w14:textId="0CDDCF85" w:rsidR="00A1717C" w:rsidRPr="00BA2E74" w:rsidRDefault="00A1717C" w:rsidP="00A1717C">
      <w:pPr>
        <w:pStyle w:val="p1"/>
        <w:rPr>
          <w:rFonts w:ascii="Tahoma" w:hAnsi="Tahoma" w:cs="Tahoma"/>
          <w:sz w:val="20"/>
          <w:szCs w:val="20"/>
        </w:rPr>
      </w:pPr>
      <w:r w:rsidRPr="00BA2E74">
        <w:rPr>
          <w:rFonts w:ascii="Tahoma" w:hAnsi="Tahoma" w:cs="Tahoma"/>
          <w:b/>
          <w:bCs/>
          <w:sz w:val="20"/>
          <w:szCs w:val="20"/>
        </w:rPr>
        <w:t xml:space="preserve">Data Protection Legislation </w:t>
      </w:r>
      <w:r w:rsidR="00D94855">
        <w:rPr>
          <w:rFonts w:ascii="Tahoma" w:hAnsi="Tahoma" w:cs="Tahoma"/>
          <w:b/>
          <w:bCs/>
          <w:sz w:val="20"/>
          <w:szCs w:val="20"/>
        </w:rPr>
        <w:t>means</w:t>
      </w:r>
      <w:r w:rsidRPr="00BA2E74">
        <w:rPr>
          <w:rFonts w:ascii="Tahoma" w:hAnsi="Tahoma" w:cs="Tahoma"/>
          <w:sz w:val="20"/>
          <w:szCs w:val="20"/>
        </w:rPr>
        <w:t>(i) unless and until the GDPR is no longer directly applicable in the UK, the General Data Protection Regulation (</w:t>
      </w:r>
      <w:r w:rsidRPr="00BA2E74">
        <w:rPr>
          <w:rFonts w:ascii="Tahoma" w:hAnsi="Tahoma" w:cs="Tahoma"/>
          <w:i/>
          <w:iCs/>
          <w:sz w:val="20"/>
          <w:szCs w:val="20"/>
        </w:rPr>
        <w:t>(EU) 2016/679</w:t>
      </w:r>
      <w:r w:rsidRPr="00BA2E74">
        <w:rPr>
          <w:rFonts w:ascii="Tahoma" w:hAnsi="Tahoma" w:cs="Tahoma"/>
          <w:sz w:val="20"/>
          <w:szCs w:val="20"/>
        </w:rPr>
        <w:t xml:space="preserve">) and any national implementing laws, regulations and secondary legislation, as amended or updated from time to time, in the UK and then  (ii) any successor legislation to the GDPR or the Data Protection Act </w:t>
      </w:r>
      <w:r w:rsidR="00D413F1">
        <w:rPr>
          <w:rFonts w:ascii="Tahoma" w:hAnsi="Tahoma" w:cs="Tahoma"/>
          <w:sz w:val="20"/>
          <w:szCs w:val="20"/>
        </w:rPr>
        <w:t>2018</w:t>
      </w:r>
      <w:r w:rsidRPr="00BA2E74">
        <w:rPr>
          <w:rFonts w:ascii="Tahoma" w:hAnsi="Tahoma" w:cs="Tahoma"/>
          <w:sz w:val="20"/>
          <w:szCs w:val="20"/>
        </w:rPr>
        <w:t>.</w:t>
      </w:r>
    </w:p>
    <w:p w14:paraId="4C30894E" w14:textId="77777777" w:rsidR="00A1717C" w:rsidRPr="00BA2E74" w:rsidRDefault="00A1717C" w:rsidP="00A1717C">
      <w:pPr>
        <w:pStyle w:val="p1"/>
        <w:rPr>
          <w:rFonts w:ascii="Tahoma" w:hAnsi="Tahoma" w:cs="Tahoma"/>
          <w:b/>
          <w:sz w:val="20"/>
          <w:szCs w:val="20"/>
        </w:rPr>
      </w:pPr>
      <w:r w:rsidRPr="00BA2E74">
        <w:rPr>
          <w:rFonts w:ascii="Tahoma" w:hAnsi="Tahoma" w:cs="Tahoma"/>
          <w:b/>
          <w:sz w:val="20"/>
          <w:szCs w:val="20"/>
        </w:rPr>
        <w:t>Short Form:</w:t>
      </w:r>
    </w:p>
    <w:p w14:paraId="747B315F" w14:textId="3DDE147B" w:rsidR="00A1717C" w:rsidRPr="00BA2E74" w:rsidRDefault="00A1717C" w:rsidP="00BA2E74">
      <w:pPr>
        <w:rPr>
          <w:rFonts w:ascii="Tahoma" w:hAnsi="Tahoma" w:cs="Tahoma"/>
          <w:b/>
          <w:sz w:val="20"/>
          <w:szCs w:val="20"/>
        </w:rPr>
      </w:pPr>
      <w:r w:rsidRPr="00BA2E74">
        <w:rPr>
          <w:rFonts w:ascii="Tahoma" w:hAnsi="Tahoma" w:cs="Tahoma"/>
          <w:b/>
          <w:sz w:val="20"/>
          <w:szCs w:val="20"/>
        </w:rPr>
        <w:t>DATA PROTECTION LAWS</w:t>
      </w:r>
    </w:p>
    <w:p w14:paraId="3522066B" w14:textId="612D4751" w:rsidR="00A1717C" w:rsidRPr="00BA2E74" w:rsidRDefault="00A1717C" w:rsidP="00A1717C">
      <w:pPr>
        <w:pStyle w:val="p2"/>
        <w:rPr>
          <w:rFonts w:ascii="Tahoma" w:hAnsi="Tahoma" w:cs="Tahoma"/>
          <w:sz w:val="20"/>
          <w:szCs w:val="20"/>
        </w:rPr>
      </w:pPr>
      <w:r w:rsidRPr="00BA2E74">
        <w:rPr>
          <w:rFonts w:ascii="Tahoma" w:hAnsi="Tahoma" w:cs="Tahoma"/>
          <w:sz w:val="20"/>
          <w:szCs w:val="20"/>
        </w:rPr>
        <w:t>1.1</w:t>
      </w:r>
      <w:r w:rsidRPr="00BA2E74">
        <w:rPr>
          <w:rFonts w:ascii="Tahoma" w:hAnsi="Tahoma" w:cs="Tahoma"/>
          <w:b/>
          <w:sz w:val="20"/>
          <w:szCs w:val="20"/>
        </w:rPr>
        <w:t xml:space="preserve"> </w:t>
      </w:r>
      <w:r w:rsidRPr="00BA2E74">
        <w:rPr>
          <w:rFonts w:ascii="Tahoma" w:hAnsi="Tahoma" w:cs="Tahoma"/>
          <w:sz w:val="20"/>
          <w:szCs w:val="20"/>
        </w:rPr>
        <w:t>For the purposes of the Data Protection L</w:t>
      </w:r>
      <w:r w:rsidR="00BA2E74">
        <w:rPr>
          <w:rFonts w:ascii="Tahoma" w:hAnsi="Tahoma" w:cs="Tahoma"/>
          <w:sz w:val="20"/>
          <w:szCs w:val="20"/>
        </w:rPr>
        <w:t>egislation</w:t>
      </w:r>
      <w:r w:rsidRPr="00BA2E74">
        <w:rPr>
          <w:rFonts w:ascii="Tahoma" w:hAnsi="Tahoma" w:cs="Tahoma"/>
          <w:sz w:val="20"/>
          <w:szCs w:val="20"/>
        </w:rPr>
        <w:t xml:space="preserve">, the </w:t>
      </w:r>
      <w:r w:rsidR="00D94855">
        <w:rPr>
          <w:rFonts w:ascii="Tahoma" w:hAnsi="Tahoma" w:cs="Tahoma"/>
          <w:sz w:val="20"/>
          <w:szCs w:val="20"/>
        </w:rPr>
        <w:t xml:space="preserve">Company, Client and Contractor are independent </w:t>
      </w:r>
      <w:r w:rsidRPr="00BA2E74">
        <w:rPr>
          <w:rFonts w:ascii="Tahoma" w:hAnsi="Tahoma" w:cs="Tahoma"/>
          <w:sz w:val="20"/>
          <w:szCs w:val="20"/>
        </w:rPr>
        <w:t>Data Controller</w:t>
      </w:r>
      <w:r w:rsidR="00D94855">
        <w:rPr>
          <w:rFonts w:ascii="Tahoma" w:hAnsi="Tahoma" w:cs="Tahoma"/>
          <w:sz w:val="20"/>
          <w:szCs w:val="20"/>
        </w:rPr>
        <w:t>s</w:t>
      </w:r>
      <w:r w:rsidRPr="00BA2E74">
        <w:rPr>
          <w:rFonts w:ascii="Tahoma" w:hAnsi="Tahoma" w:cs="Tahoma"/>
          <w:sz w:val="20"/>
          <w:szCs w:val="20"/>
        </w:rPr>
        <w:t xml:space="preserve"> (where Data Controller has the meaning as defined in the Data Protection Legislation) but they are not Joint Controllers unless a specific agreement is made to that effect between the parties.</w:t>
      </w:r>
    </w:p>
    <w:p w14:paraId="755D08EA" w14:textId="77777777" w:rsidR="00A1717C" w:rsidRPr="00BA2E74" w:rsidRDefault="00A1717C" w:rsidP="00A1717C">
      <w:pPr>
        <w:pStyle w:val="p2"/>
        <w:rPr>
          <w:rFonts w:ascii="Tahoma" w:hAnsi="Tahoma" w:cs="Tahoma"/>
          <w:sz w:val="20"/>
          <w:szCs w:val="20"/>
        </w:rPr>
      </w:pPr>
    </w:p>
    <w:p w14:paraId="0D2BF53E" w14:textId="0C9F3853" w:rsidR="00A1717C" w:rsidRPr="00BA2E74" w:rsidRDefault="00A1717C" w:rsidP="00A1717C">
      <w:pPr>
        <w:pStyle w:val="p2"/>
        <w:rPr>
          <w:rFonts w:ascii="Tahoma" w:hAnsi="Tahoma" w:cs="Tahoma"/>
          <w:sz w:val="20"/>
          <w:szCs w:val="20"/>
        </w:rPr>
      </w:pPr>
      <w:r w:rsidRPr="00BA2E74">
        <w:rPr>
          <w:rFonts w:ascii="Tahoma" w:hAnsi="Tahoma" w:cs="Tahoma"/>
          <w:sz w:val="20"/>
          <w:szCs w:val="20"/>
        </w:rPr>
        <w:t>1.2</w:t>
      </w:r>
      <w:r w:rsidRPr="00BA2E74">
        <w:rPr>
          <w:rFonts w:ascii="Tahoma" w:hAnsi="Tahoma" w:cs="Tahoma"/>
          <w:b/>
          <w:sz w:val="20"/>
          <w:szCs w:val="20"/>
        </w:rPr>
        <w:t xml:space="preserve">  </w:t>
      </w:r>
      <w:r w:rsidRPr="00BA2E74">
        <w:rPr>
          <w:rFonts w:ascii="Tahoma" w:hAnsi="Tahoma" w:cs="Tahoma"/>
          <w:sz w:val="20"/>
          <w:szCs w:val="20"/>
        </w:rPr>
        <w:t xml:space="preserve">The parties shall ensure that they notify the other </w:t>
      </w:r>
      <w:r w:rsidR="00953B16">
        <w:rPr>
          <w:rFonts w:ascii="Tahoma" w:hAnsi="Tahoma" w:cs="Tahoma"/>
          <w:sz w:val="20"/>
          <w:szCs w:val="20"/>
        </w:rPr>
        <w:t xml:space="preserve">party </w:t>
      </w:r>
      <w:r w:rsidRPr="00BA2E74">
        <w:rPr>
          <w:rFonts w:ascii="Tahoma" w:hAnsi="Tahoma" w:cs="Tahoma"/>
          <w:sz w:val="20"/>
          <w:szCs w:val="20"/>
        </w:rPr>
        <w:t>without undue delay on becoming aware of a Personal Data breach relevant to Personal Data transferred pursuant to this Agreement.</w:t>
      </w:r>
    </w:p>
    <w:p w14:paraId="6A6C054A" w14:textId="77777777" w:rsidR="00A1717C" w:rsidRPr="00BA2E74" w:rsidRDefault="00A1717C" w:rsidP="00A1717C">
      <w:pPr>
        <w:pStyle w:val="p2"/>
        <w:rPr>
          <w:rFonts w:ascii="Tahoma" w:hAnsi="Tahoma" w:cs="Tahoma"/>
          <w:sz w:val="20"/>
          <w:szCs w:val="20"/>
        </w:rPr>
      </w:pPr>
    </w:p>
    <w:p w14:paraId="4D13E9CF" w14:textId="7F52054F" w:rsidR="00A1717C" w:rsidRPr="00BA2E74" w:rsidRDefault="00A1717C" w:rsidP="00A1717C">
      <w:pPr>
        <w:pStyle w:val="p2"/>
        <w:rPr>
          <w:rFonts w:ascii="Tahoma" w:hAnsi="Tahoma" w:cs="Tahoma"/>
          <w:sz w:val="20"/>
          <w:szCs w:val="20"/>
        </w:rPr>
      </w:pPr>
      <w:r w:rsidRPr="00BA2E74">
        <w:rPr>
          <w:rFonts w:ascii="Tahoma" w:hAnsi="Tahoma" w:cs="Tahoma"/>
          <w:sz w:val="20"/>
          <w:szCs w:val="20"/>
        </w:rPr>
        <w:t xml:space="preserve">1.3 in the event of any suspected or actual breach of Data Protection </w:t>
      </w:r>
      <w:r w:rsidR="00BA2E74" w:rsidRPr="00BA2E74">
        <w:rPr>
          <w:rFonts w:ascii="Tahoma" w:hAnsi="Tahoma" w:cs="Tahoma"/>
          <w:sz w:val="20"/>
          <w:szCs w:val="20"/>
        </w:rPr>
        <w:t>L</w:t>
      </w:r>
      <w:r w:rsidR="00BA2E74">
        <w:rPr>
          <w:rFonts w:ascii="Tahoma" w:hAnsi="Tahoma" w:cs="Tahoma"/>
          <w:sz w:val="20"/>
          <w:szCs w:val="20"/>
        </w:rPr>
        <w:t>egislation</w:t>
      </w:r>
      <w:r w:rsidRPr="00BA2E74">
        <w:rPr>
          <w:rFonts w:ascii="Tahoma" w:hAnsi="Tahoma" w:cs="Tahoma"/>
          <w:sz w:val="20"/>
          <w:szCs w:val="20"/>
        </w:rPr>
        <w:t xml:space="preserve"> the </w:t>
      </w:r>
      <w:r w:rsidR="00D94855">
        <w:rPr>
          <w:rFonts w:ascii="Tahoma" w:hAnsi="Tahoma" w:cs="Tahoma"/>
          <w:sz w:val="20"/>
          <w:szCs w:val="20"/>
        </w:rPr>
        <w:t>Intermediary</w:t>
      </w:r>
      <w:r w:rsidRPr="00BA2E74">
        <w:rPr>
          <w:rFonts w:ascii="Tahoma" w:hAnsi="Tahoma" w:cs="Tahoma"/>
          <w:sz w:val="20"/>
          <w:szCs w:val="20"/>
        </w:rPr>
        <w:t xml:space="preserve"> shall (at its own expense):</w:t>
      </w:r>
    </w:p>
    <w:p w14:paraId="0FFD82B1" w14:textId="77777777" w:rsidR="00A1717C" w:rsidRPr="00BA2E74" w:rsidRDefault="00A1717C" w:rsidP="00A1717C">
      <w:pPr>
        <w:pStyle w:val="BodyText"/>
        <w:ind w:right="567"/>
        <w:rPr>
          <w:rFonts w:eastAsiaTheme="minorHAnsi"/>
          <w:sz w:val="20"/>
          <w:szCs w:val="20"/>
        </w:rPr>
      </w:pPr>
      <w:r w:rsidRPr="00BA2E74">
        <w:rPr>
          <w:rFonts w:eastAsiaTheme="minorHAnsi"/>
          <w:sz w:val="20"/>
          <w:szCs w:val="20"/>
        </w:rPr>
        <w:t>notify Hirer  immediately; and</w:t>
      </w:r>
    </w:p>
    <w:p w14:paraId="0B8B87A3" w14:textId="77777777" w:rsidR="00A1717C" w:rsidRPr="00BA2E74" w:rsidRDefault="00A1717C" w:rsidP="00A1717C">
      <w:pPr>
        <w:pStyle w:val="BodyText"/>
        <w:ind w:right="-64"/>
        <w:rPr>
          <w:rFonts w:eastAsiaTheme="minorHAnsi"/>
          <w:sz w:val="20"/>
          <w:szCs w:val="20"/>
        </w:rPr>
      </w:pPr>
      <w:r w:rsidRPr="00BA2E74">
        <w:rPr>
          <w:rFonts w:eastAsiaTheme="minorHAnsi"/>
          <w:sz w:val="20"/>
          <w:szCs w:val="20"/>
        </w:rPr>
        <w:t>provide such information, assistance and cooperation and do such things as Company may request to (i) investigate and defend any claim or regulatory investigation; (ii) mitigate, remedy and/or rectify such breach; and (iii) prevent future breaches.</w:t>
      </w:r>
    </w:p>
    <w:p w14:paraId="4628FC25" w14:textId="77777777" w:rsidR="00A1717C" w:rsidRPr="00BA2E74" w:rsidRDefault="00A1717C" w:rsidP="00A1717C">
      <w:pPr>
        <w:pStyle w:val="p1"/>
        <w:rPr>
          <w:rFonts w:ascii="Tahoma" w:hAnsi="Tahoma" w:cs="Tahoma"/>
          <w:color w:val="000000" w:themeColor="text1"/>
          <w:sz w:val="20"/>
          <w:szCs w:val="20"/>
        </w:rPr>
      </w:pPr>
    </w:p>
    <w:p w14:paraId="2D5DFC39" w14:textId="77777777" w:rsidR="00A1717C" w:rsidRPr="00BA2E74" w:rsidRDefault="00A1717C" w:rsidP="00A1717C">
      <w:pPr>
        <w:pStyle w:val="p2"/>
        <w:rPr>
          <w:rFonts w:ascii="Tahoma" w:hAnsi="Tahoma" w:cs="Tahoma"/>
          <w:b/>
          <w:color w:val="000000" w:themeColor="text1"/>
          <w:sz w:val="20"/>
          <w:szCs w:val="20"/>
        </w:rPr>
      </w:pPr>
      <w:r w:rsidRPr="00BA2E74">
        <w:rPr>
          <w:rFonts w:ascii="Tahoma" w:hAnsi="Tahoma" w:cs="Tahoma"/>
          <w:b/>
          <w:color w:val="000000" w:themeColor="text1"/>
          <w:sz w:val="20"/>
          <w:szCs w:val="20"/>
        </w:rPr>
        <w:t> Long form schedule:</w:t>
      </w:r>
    </w:p>
    <w:p w14:paraId="09A1ECF4" w14:textId="77777777" w:rsidR="00A1717C" w:rsidRPr="00BA2E74" w:rsidRDefault="00A1717C" w:rsidP="00A1717C">
      <w:pPr>
        <w:pStyle w:val="p2"/>
        <w:rPr>
          <w:rFonts w:ascii="Tahoma" w:hAnsi="Tahoma" w:cs="Tahoma"/>
          <w:color w:val="000000" w:themeColor="text1"/>
          <w:sz w:val="20"/>
          <w:szCs w:val="20"/>
        </w:rPr>
      </w:pPr>
    </w:p>
    <w:p w14:paraId="1A28F5CC" w14:textId="77777777" w:rsidR="00BA2E74" w:rsidRPr="00BA2E74" w:rsidRDefault="00A1717C" w:rsidP="00BA2E74">
      <w:pPr>
        <w:pStyle w:val="p2"/>
        <w:numPr>
          <w:ilvl w:val="0"/>
          <w:numId w:val="5"/>
        </w:numPr>
        <w:rPr>
          <w:rFonts w:ascii="Tahoma" w:hAnsi="Tahoma" w:cs="Tahoma"/>
          <w:color w:val="000000" w:themeColor="text1"/>
          <w:sz w:val="20"/>
          <w:szCs w:val="20"/>
        </w:rPr>
      </w:pPr>
      <w:r w:rsidRPr="00BA2E74">
        <w:rPr>
          <w:rFonts w:ascii="Tahoma" w:hAnsi="Tahoma" w:cs="Tahoma"/>
          <w:color w:val="000000" w:themeColor="text1"/>
          <w:sz w:val="20"/>
          <w:szCs w:val="20"/>
        </w:rPr>
        <w:t>Both parties will comply with all applicable requirements of the Data Protection Legislation. This clause is in addition to, and does not relieve, remove or replace, a party’s obligations under the Data Protection Legislation.</w:t>
      </w:r>
    </w:p>
    <w:p w14:paraId="772E6527" w14:textId="77777777" w:rsidR="00BA2E74" w:rsidRPr="00BA2E74" w:rsidRDefault="00BA2E74" w:rsidP="00BA2E74">
      <w:pPr>
        <w:pStyle w:val="p2"/>
        <w:ind w:left="720"/>
        <w:rPr>
          <w:rFonts w:ascii="Tahoma" w:hAnsi="Tahoma" w:cs="Tahoma"/>
          <w:color w:val="000000" w:themeColor="text1"/>
          <w:sz w:val="20"/>
          <w:szCs w:val="20"/>
        </w:rPr>
      </w:pPr>
    </w:p>
    <w:p w14:paraId="286D1EC4" w14:textId="08284023" w:rsidR="00BA2E74" w:rsidRPr="00BA2E74" w:rsidRDefault="00A1717C" w:rsidP="00BA2E74">
      <w:pPr>
        <w:pStyle w:val="p2"/>
        <w:numPr>
          <w:ilvl w:val="0"/>
          <w:numId w:val="5"/>
        </w:numPr>
        <w:rPr>
          <w:rFonts w:ascii="Tahoma" w:hAnsi="Tahoma" w:cs="Tahoma"/>
          <w:color w:val="000000" w:themeColor="text1"/>
          <w:sz w:val="20"/>
          <w:szCs w:val="20"/>
        </w:rPr>
      </w:pPr>
      <w:r w:rsidRPr="00BA2E74">
        <w:rPr>
          <w:rFonts w:ascii="Tahoma" w:hAnsi="Tahoma" w:cs="Tahoma"/>
          <w:color w:val="000000" w:themeColor="text1"/>
          <w:sz w:val="20"/>
          <w:szCs w:val="20"/>
        </w:rPr>
        <w:t>The parties acknowledge that for the purposes of the Data Protection Legislation, the Company</w:t>
      </w:r>
      <w:r w:rsidR="00D94855">
        <w:rPr>
          <w:rFonts w:ascii="Tahoma" w:hAnsi="Tahoma" w:cs="Tahoma"/>
          <w:color w:val="000000" w:themeColor="text1"/>
          <w:sz w:val="20"/>
          <w:szCs w:val="20"/>
        </w:rPr>
        <w:t xml:space="preserve">, Client and Contractor are independent </w:t>
      </w:r>
      <w:r w:rsidRPr="00BA2E74">
        <w:rPr>
          <w:rFonts w:ascii="Tahoma" w:hAnsi="Tahoma" w:cs="Tahoma"/>
          <w:color w:val="000000" w:themeColor="text1"/>
          <w:sz w:val="20"/>
          <w:szCs w:val="20"/>
        </w:rPr>
        <w:t>Data Controller</w:t>
      </w:r>
      <w:r w:rsidR="00D94855">
        <w:rPr>
          <w:rFonts w:ascii="Tahoma" w:hAnsi="Tahoma" w:cs="Tahoma"/>
          <w:color w:val="000000" w:themeColor="text1"/>
          <w:sz w:val="20"/>
          <w:szCs w:val="20"/>
        </w:rPr>
        <w:t>s</w:t>
      </w:r>
      <w:r w:rsidRPr="00BA2E74">
        <w:rPr>
          <w:rFonts w:ascii="Tahoma" w:hAnsi="Tahoma" w:cs="Tahoma"/>
          <w:color w:val="000000" w:themeColor="text1"/>
          <w:sz w:val="20"/>
          <w:szCs w:val="20"/>
        </w:rPr>
        <w:t xml:space="preserve"> (where Data Controller has the meaning as defined in the Data Protection Legislation) but they are not Joint Controllers unless a specific agreement is made to that effect between the parties.</w:t>
      </w:r>
    </w:p>
    <w:p w14:paraId="69A59D95" w14:textId="77777777" w:rsidR="00BA2E74" w:rsidRPr="00BA2E74" w:rsidRDefault="00BA2E74" w:rsidP="00BA2E74">
      <w:pPr>
        <w:pStyle w:val="ListParagraph"/>
        <w:rPr>
          <w:rFonts w:ascii="Tahoma" w:hAnsi="Tahoma" w:cs="Tahoma"/>
          <w:color w:val="000000" w:themeColor="text1"/>
          <w:sz w:val="20"/>
          <w:szCs w:val="20"/>
        </w:rPr>
      </w:pPr>
    </w:p>
    <w:p w14:paraId="4703C694" w14:textId="77777777" w:rsidR="00BA2E74" w:rsidRPr="00BA2E74" w:rsidRDefault="00A1717C" w:rsidP="00BA2E74">
      <w:pPr>
        <w:pStyle w:val="p2"/>
        <w:numPr>
          <w:ilvl w:val="0"/>
          <w:numId w:val="5"/>
        </w:numPr>
        <w:rPr>
          <w:rFonts w:ascii="Tahoma" w:hAnsi="Tahoma" w:cs="Tahoma"/>
          <w:color w:val="000000" w:themeColor="text1"/>
          <w:sz w:val="20"/>
          <w:szCs w:val="20"/>
        </w:rPr>
      </w:pPr>
      <w:r w:rsidRPr="00BA2E74">
        <w:rPr>
          <w:rFonts w:ascii="Tahoma" w:hAnsi="Tahoma" w:cs="Tahoma"/>
          <w:color w:val="000000" w:themeColor="text1"/>
          <w:sz w:val="20"/>
          <w:szCs w:val="20"/>
        </w:rPr>
        <w:t xml:space="preserve">The disclosing party will use all reasonable endeavours to ensure that it has all necessary appropriate consents and notices in place to ensure lawful transfer of Personal Data (as defined in the Data Protection Legislation) to the receiving party for the purposes of the Agreement.  The parties shall not rely on the other’s collection of necessary consent and notices given, save the Contractor warrants that Consultant(s) has given consent to transfer of their Personal Data to the Company. </w:t>
      </w:r>
    </w:p>
    <w:p w14:paraId="6D00E484" w14:textId="77777777" w:rsidR="00BA2E74" w:rsidRPr="00BA2E74" w:rsidRDefault="00BA2E74" w:rsidP="00BA2E74">
      <w:pPr>
        <w:pStyle w:val="ListParagraph"/>
        <w:rPr>
          <w:rFonts w:ascii="Tahoma" w:hAnsi="Tahoma" w:cs="Tahoma"/>
          <w:color w:val="000000" w:themeColor="text1"/>
          <w:sz w:val="20"/>
          <w:szCs w:val="20"/>
        </w:rPr>
      </w:pPr>
    </w:p>
    <w:p w14:paraId="76AD8E37" w14:textId="77777777" w:rsidR="00BA2E74" w:rsidRPr="00BA2E74" w:rsidRDefault="00A1717C" w:rsidP="00BA2E74">
      <w:pPr>
        <w:pStyle w:val="p2"/>
        <w:numPr>
          <w:ilvl w:val="0"/>
          <w:numId w:val="5"/>
        </w:numPr>
        <w:rPr>
          <w:rFonts w:ascii="Tahoma" w:hAnsi="Tahoma" w:cs="Tahoma"/>
          <w:color w:val="000000" w:themeColor="text1"/>
          <w:sz w:val="20"/>
          <w:szCs w:val="20"/>
        </w:rPr>
      </w:pPr>
      <w:r w:rsidRPr="00BA2E74">
        <w:rPr>
          <w:rFonts w:ascii="Tahoma" w:hAnsi="Tahoma" w:cs="Tahoma"/>
          <w:color w:val="000000" w:themeColor="text1"/>
          <w:sz w:val="20"/>
          <w:szCs w:val="20"/>
        </w:rPr>
        <w:t xml:space="preserve">The Parties shall only process a Data Subject’s Personal Data for the purposes of fulfilling this Agreement, including with regard to transfers of data outside the EEA to a third country. </w:t>
      </w:r>
    </w:p>
    <w:p w14:paraId="57260E58" w14:textId="77777777" w:rsidR="00BA2E74" w:rsidRPr="00BA2E74" w:rsidRDefault="00BA2E74" w:rsidP="00BA2E74">
      <w:pPr>
        <w:pStyle w:val="ListParagraph"/>
        <w:rPr>
          <w:rFonts w:ascii="Tahoma" w:hAnsi="Tahoma" w:cs="Tahoma"/>
          <w:color w:val="000000" w:themeColor="text1"/>
          <w:sz w:val="20"/>
          <w:szCs w:val="20"/>
        </w:rPr>
      </w:pPr>
    </w:p>
    <w:p w14:paraId="0A980BB1" w14:textId="43710D43" w:rsidR="00BA2E74" w:rsidRDefault="00A1717C" w:rsidP="00BA2E74">
      <w:pPr>
        <w:pStyle w:val="p2"/>
        <w:numPr>
          <w:ilvl w:val="0"/>
          <w:numId w:val="5"/>
        </w:numPr>
        <w:rPr>
          <w:rFonts w:ascii="Tahoma" w:hAnsi="Tahoma" w:cs="Tahoma"/>
          <w:color w:val="000000" w:themeColor="text1"/>
          <w:sz w:val="20"/>
          <w:szCs w:val="20"/>
        </w:rPr>
      </w:pPr>
      <w:r w:rsidRPr="00BA2E74">
        <w:rPr>
          <w:rFonts w:ascii="Tahoma" w:hAnsi="Tahoma" w:cs="Tahoma"/>
          <w:color w:val="000000" w:themeColor="text1"/>
          <w:sz w:val="20"/>
          <w:szCs w:val="20"/>
        </w:rPr>
        <w:t>The parties  shall ensure that :</w:t>
      </w:r>
    </w:p>
    <w:p w14:paraId="6316ADF6" w14:textId="77777777" w:rsidR="00BA2E74" w:rsidRPr="00BA2E74" w:rsidRDefault="00BA2E74" w:rsidP="00BA2E74">
      <w:pPr>
        <w:pStyle w:val="p2"/>
        <w:rPr>
          <w:rFonts w:ascii="Tahoma" w:hAnsi="Tahoma" w:cs="Tahoma"/>
          <w:color w:val="000000" w:themeColor="text1"/>
          <w:sz w:val="20"/>
          <w:szCs w:val="20"/>
        </w:rPr>
      </w:pPr>
    </w:p>
    <w:p w14:paraId="2E0C73EA" w14:textId="77777777" w:rsidR="00BA2E74" w:rsidRPr="00BA2E74" w:rsidRDefault="00A1717C" w:rsidP="00BA2E74">
      <w:pPr>
        <w:pStyle w:val="p2"/>
        <w:numPr>
          <w:ilvl w:val="1"/>
          <w:numId w:val="6"/>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 xml:space="preserve">they have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w:t>
      </w:r>
      <w:r w:rsidRPr="00BA2E74">
        <w:rPr>
          <w:rFonts w:ascii="Tahoma" w:eastAsia="Times New Roman" w:hAnsi="Tahoma" w:cs="Tahoma"/>
          <w:color w:val="000000" w:themeColor="text1"/>
          <w:sz w:val="20"/>
          <w:szCs w:val="20"/>
        </w:rPr>
        <w:lastRenderedPageBreak/>
        <w:t>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20307C1D" w14:textId="77777777" w:rsidR="00BA2E74" w:rsidRPr="00BA2E74" w:rsidRDefault="00BA2E74" w:rsidP="00BA2E74">
      <w:pPr>
        <w:pStyle w:val="p2"/>
        <w:ind w:left="1440"/>
        <w:rPr>
          <w:rFonts w:ascii="Tahoma" w:hAnsi="Tahoma" w:cs="Tahoma"/>
          <w:color w:val="000000" w:themeColor="text1"/>
          <w:sz w:val="20"/>
          <w:szCs w:val="20"/>
        </w:rPr>
      </w:pPr>
    </w:p>
    <w:p w14:paraId="1B5DAA25" w14:textId="77777777" w:rsidR="00BA2E74" w:rsidRPr="00BA2E74" w:rsidRDefault="00A1717C" w:rsidP="00BA2E74">
      <w:pPr>
        <w:pStyle w:val="p2"/>
        <w:numPr>
          <w:ilvl w:val="1"/>
          <w:numId w:val="6"/>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 xml:space="preserve">all personnel who have access to and/or process Personal Data are obliged to keep the Personal Data confidential; </w:t>
      </w:r>
    </w:p>
    <w:p w14:paraId="0F13EC36" w14:textId="77777777" w:rsidR="00BA2E74" w:rsidRPr="00BA2E74" w:rsidRDefault="00BA2E74" w:rsidP="00BA2E74">
      <w:pPr>
        <w:pStyle w:val="p2"/>
        <w:ind w:left="1440"/>
        <w:rPr>
          <w:rFonts w:ascii="Tahoma" w:hAnsi="Tahoma" w:cs="Tahoma"/>
          <w:color w:val="000000" w:themeColor="text1"/>
          <w:sz w:val="20"/>
          <w:szCs w:val="20"/>
        </w:rPr>
      </w:pPr>
    </w:p>
    <w:p w14:paraId="4FA86C45" w14:textId="346ECFA0" w:rsidR="00953B16" w:rsidRPr="00BA2E74" w:rsidRDefault="00A1717C" w:rsidP="00BA2E74">
      <w:pPr>
        <w:pStyle w:val="p2"/>
        <w:numPr>
          <w:ilvl w:val="1"/>
          <w:numId w:val="6"/>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the Data Subject has enforceable rights and effective legal remedies;</w:t>
      </w:r>
    </w:p>
    <w:p w14:paraId="5985CDCF" w14:textId="77777777" w:rsidR="00BA2E74" w:rsidRPr="007833AD" w:rsidRDefault="00BA2E74" w:rsidP="007833AD">
      <w:pPr>
        <w:pStyle w:val="p2"/>
        <w:ind w:left="1440"/>
        <w:rPr>
          <w:rFonts w:ascii="Tahoma" w:eastAsia="Times New Roman" w:hAnsi="Tahoma" w:cs="Tahoma"/>
          <w:color w:val="000000" w:themeColor="text1"/>
          <w:sz w:val="20"/>
          <w:szCs w:val="20"/>
        </w:rPr>
      </w:pPr>
    </w:p>
    <w:p w14:paraId="2C5D7B3B" w14:textId="1A1FEA58" w:rsidR="00953B16" w:rsidRPr="00BA2E74" w:rsidRDefault="00A1717C" w:rsidP="00BA2E74">
      <w:pPr>
        <w:pStyle w:val="p2"/>
        <w:numPr>
          <w:ilvl w:val="1"/>
          <w:numId w:val="6"/>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they provide reasonable assistance to the other in responding to any request from a Data Subject and in ensuring compliance with their respective obligations under the Data Protection Legislation with respect to data subject access requests and other data subject rights, data security, breach notifications, impact assessments and consultations with supervisory authorities or regulators;</w:t>
      </w:r>
    </w:p>
    <w:p w14:paraId="5F841CE0" w14:textId="77777777" w:rsidR="00BA2E74" w:rsidRPr="007833AD" w:rsidRDefault="00BA2E74" w:rsidP="007833AD">
      <w:pPr>
        <w:pStyle w:val="p2"/>
        <w:ind w:left="1440"/>
        <w:rPr>
          <w:rFonts w:ascii="Tahoma" w:eastAsia="Times New Roman" w:hAnsi="Tahoma" w:cs="Tahoma"/>
          <w:color w:val="000000" w:themeColor="text1"/>
          <w:sz w:val="20"/>
          <w:szCs w:val="20"/>
        </w:rPr>
      </w:pPr>
    </w:p>
    <w:p w14:paraId="100AF0B7" w14:textId="556DF4CE" w:rsidR="00953B16" w:rsidRPr="00BA2E74" w:rsidRDefault="00A1717C" w:rsidP="00BA2E74">
      <w:pPr>
        <w:pStyle w:val="p2"/>
        <w:numPr>
          <w:ilvl w:val="1"/>
          <w:numId w:val="6"/>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 xml:space="preserve">they notify the other </w:t>
      </w:r>
      <w:r w:rsidR="00953B16">
        <w:rPr>
          <w:rFonts w:ascii="Tahoma" w:eastAsia="Times New Roman" w:hAnsi="Tahoma" w:cs="Tahoma"/>
          <w:color w:val="000000" w:themeColor="text1"/>
          <w:sz w:val="20"/>
          <w:szCs w:val="20"/>
        </w:rPr>
        <w:t xml:space="preserve">party </w:t>
      </w:r>
      <w:r w:rsidRPr="00BA2E74">
        <w:rPr>
          <w:rFonts w:ascii="Tahoma" w:eastAsia="Times New Roman" w:hAnsi="Tahoma" w:cs="Tahoma"/>
          <w:color w:val="000000" w:themeColor="text1"/>
          <w:sz w:val="20"/>
          <w:szCs w:val="20"/>
        </w:rPr>
        <w:t>without undue delay on becoming aware of a Personal Data breach relevant to Personal Data transferred pursuant to this Agreement; and</w:t>
      </w:r>
    </w:p>
    <w:p w14:paraId="77701A81" w14:textId="77777777" w:rsidR="00BA2E74" w:rsidRPr="007833AD" w:rsidRDefault="00BA2E74" w:rsidP="007833AD">
      <w:pPr>
        <w:pStyle w:val="p2"/>
        <w:ind w:left="1440"/>
        <w:rPr>
          <w:rFonts w:ascii="Tahoma" w:eastAsia="Times New Roman" w:hAnsi="Tahoma" w:cs="Tahoma"/>
          <w:color w:val="000000" w:themeColor="text1"/>
          <w:sz w:val="20"/>
          <w:szCs w:val="20"/>
        </w:rPr>
      </w:pPr>
    </w:p>
    <w:p w14:paraId="2C4DA64C" w14:textId="128E4815" w:rsidR="00A1717C" w:rsidRPr="00BA2E74" w:rsidRDefault="00A1717C" w:rsidP="00BA2E74">
      <w:pPr>
        <w:pStyle w:val="p2"/>
        <w:numPr>
          <w:ilvl w:val="1"/>
          <w:numId w:val="6"/>
        </w:numPr>
        <w:rPr>
          <w:rFonts w:ascii="Tahoma" w:hAnsi="Tahoma" w:cs="Tahoma"/>
          <w:color w:val="000000" w:themeColor="text1"/>
          <w:sz w:val="20"/>
          <w:szCs w:val="20"/>
        </w:rPr>
      </w:pPr>
      <w:r w:rsidRPr="00BA2E74">
        <w:rPr>
          <w:rFonts w:ascii="Tahoma" w:eastAsia="Times New Roman" w:hAnsi="Tahoma" w:cs="Tahoma"/>
          <w:color w:val="000000" w:themeColor="text1"/>
          <w:sz w:val="20"/>
          <w:szCs w:val="20"/>
        </w:rPr>
        <w:t>they maintain complete and accurate records and information to demonstrate their compliance with this </w:t>
      </w:r>
      <w:r w:rsidRPr="00BA2E74">
        <w:rPr>
          <w:rFonts w:ascii="Tahoma" w:eastAsia="Times New Roman" w:hAnsi="Tahoma" w:cs="Tahoma"/>
          <w:iCs/>
          <w:color w:val="000000" w:themeColor="text1"/>
          <w:sz w:val="20"/>
          <w:szCs w:val="20"/>
        </w:rPr>
        <w:t>Data Protection Schedule.</w:t>
      </w:r>
    </w:p>
    <w:p w14:paraId="006044E5" w14:textId="77777777" w:rsidR="00A1717C" w:rsidRPr="00BA2E74" w:rsidRDefault="00A1717C" w:rsidP="00A1717C">
      <w:pPr>
        <w:pStyle w:val="BodyText"/>
        <w:ind w:right="567"/>
        <w:rPr>
          <w:rFonts w:eastAsiaTheme="minorHAnsi"/>
          <w:color w:val="000000" w:themeColor="text1"/>
          <w:sz w:val="20"/>
          <w:szCs w:val="20"/>
        </w:rPr>
      </w:pPr>
    </w:p>
    <w:p w14:paraId="6E71F339" w14:textId="77777777" w:rsidR="00BA2E74" w:rsidRPr="00BA2E74" w:rsidRDefault="00A1717C" w:rsidP="00BA2E74">
      <w:pPr>
        <w:pStyle w:val="BodyText"/>
        <w:numPr>
          <w:ilvl w:val="0"/>
          <w:numId w:val="5"/>
        </w:numPr>
        <w:ind w:right="95"/>
        <w:rPr>
          <w:rFonts w:eastAsiaTheme="minorHAnsi"/>
          <w:color w:val="000000" w:themeColor="text1"/>
          <w:sz w:val="20"/>
          <w:szCs w:val="20"/>
        </w:rPr>
      </w:pPr>
      <w:r w:rsidRPr="00BA2E74">
        <w:rPr>
          <w:rFonts w:eastAsiaTheme="minorHAnsi"/>
          <w:color w:val="000000" w:themeColor="text1"/>
          <w:sz w:val="20"/>
          <w:szCs w:val="20"/>
        </w:rPr>
        <w:t>The Contractor shall where required make available to the Company all information necessary to demonstrate compliance with the obligations associated with Data Protection Legislation and this clause and allow for audits and inspections in order to ensure compliance throu</w:t>
      </w:r>
      <w:r w:rsidR="00BA2E74" w:rsidRPr="00BA2E74">
        <w:rPr>
          <w:rFonts w:eastAsiaTheme="minorHAnsi"/>
          <w:color w:val="000000" w:themeColor="text1"/>
          <w:sz w:val="20"/>
          <w:szCs w:val="20"/>
        </w:rPr>
        <w:t>ghout the Company supply chain.</w:t>
      </w:r>
    </w:p>
    <w:p w14:paraId="4483E143" w14:textId="77777777" w:rsidR="00BA2E74" w:rsidRPr="00BA2E74" w:rsidRDefault="00BA2E74" w:rsidP="00BA2E74">
      <w:pPr>
        <w:pStyle w:val="BodyText"/>
        <w:ind w:left="720" w:right="95"/>
        <w:rPr>
          <w:rFonts w:eastAsiaTheme="minorHAnsi"/>
          <w:color w:val="000000" w:themeColor="text1"/>
          <w:sz w:val="20"/>
          <w:szCs w:val="20"/>
        </w:rPr>
      </w:pPr>
    </w:p>
    <w:p w14:paraId="6E34A858" w14:textId="76555D92" w:rsidR="00A1717C" w:rsidRPr="00BA2E74" w:rsidRDefault="00A1717C" w:rsidP="00BA2E74">
      <w:pPr>
        <w:pStyle w:val="BodyText"/>
        <w:numPr>
          <w:ilvl w:val="0"/>
          <w:numId w:val="5"/>
        </w:numPr>
        <w:ind w:right="95"/>
        <w:rPr>
          <w:rFonts w:eastAsiaTheme="minorHAnsi"/>
          <w:color w:val="000000" w:themeColor="text1"/>
          <w:sz w:val="20"/>
          <w:szCs w:val="20"/>
        </w:rPr>
      </w:pPr>
      <w:r w:rsidRPr="00BA2E74">
        <w:rPr>
          <w:rFonts w:eastAsiaTheme="minorHAnsi"/>
          <w:color w:val="000000" w:themeColor="text1"/>
          <w:sz w:val="20"/>
          <w:szCs w:val="20"/>
        </w:rPr>
        <w:t>Notwithstanding sub clauses 5.4 and 5.5</w:t>
      </w:r>
      <w:r w:rsidRPr="00BA2E74">
        <w:rPr>
          <w:rFonts w:eastAsiaTheme="minorHAnsi"/>
          <w:b/>
          <w:color w:val="000000" w:themeColor="text1"/>
          <w:sz w:val="20"/>
          <w:szCs w:val="20"/>
        </w:rPr>
        <w:t xml:space="preserve">, </w:t>
      </w:r>
      <w:r w:rsidRPr="00BA2E74">
        <w:rPr>
          <w:rFonts w:eastAsiaTheme="minorHAnsi"/>
          <w:color w:val="000000" w:themeColor="text1"/>
          <w:sz w:val="20"/>
          <w:szCs w:val="20"/>
        </w:rPr>
        <w:t>in the event of any suspected or actual breach of Data Protection Legislation, the Contractor shall (at its own expense):</w:t>
      </w:r>
    </w:p>
    <w:p w14:paraId="752B3309" w14:textId="77777777" w:rsidR="00A1717C" w:rsidRPr="00BA2E74" w:rsidRDefault="00A1717C" w:rsidP="00A1717C">
      <w:pPr>
        <w:pStyle w:val="BodyText"/>
        <w:ind w:left="1134" w:right="567"/>
        <w:rPr>
          <w:rFonts w:eastAsiaTheme="minorHAnsi"/>
          <w:color w:val="000000" w:themeColor="text1"/>
          <w:sz w:val="20"/>
          <w:szCs w:val="20"/>
        </w:rPr>
      </w:pPr>
      <w:r w:rsidRPr="00BA2E74">
        <w:rPr>
          <w:rFonts w:eastAsiaTheme="minorHAnsi"/>
          <w:color w:val="000000" w:themeColor="text1"/>
          <w:sz w:val="20"/>
          <w:szCs w:val="20"/>
        </w:rPr>
        <w:t xml:space="preserve">7.1 </w:t>
      </w:r>
      <w:r w:rsidRPr="00BA2E74">
        <w:rPr>
          <w:rFonts w:eastAsiaTheme="minorHAnsi"/>
          <w:color w:val="000000" w:themeColor="text1"/>
          <w:sz w:val="20"/>
          <w:szCs w:val="20"/>
        </w:rPr>
        <w:tab/>
        <w:t>notify Company immediately; and</w:t>
      </w:r>
    </w:p>
    <w:p w14:paraId="1551DAA1" w14:textId="77777777" w:rsidR="00A1717C" w:rsidRPr="00BA2E74" w:rsidRDefault="00A1717C" w:rsidP="00A1717C">
      <w:pPr>
        <w:pStyle w:val="BodyText"/>
        <w:ind w:left="1134" w:right="567"/>
        <w:rPr>
          <w:rFonts w:eastAsiaTheme="minorHAnsi"/>
          <w:color w:val="000000" w:themeColor="text1"/>
          <w:sz w:val="20"/>
          <w:szCs w:val="20"/>
        </w:rPr>
      </w:pPr>
      <w:r w:rsidRPr="00BA2E74">
        <w:rPr>
          <w:rFonts w:eastAsiaTheme="minorHAnsi"/>
          <w:color w:val="000000" w:themeColor="text1"/>
          <w:sz w:val="20"/>
          <w:szCs w:val="20"/>
        </w:rPr>
        <w:t>7.2</w:t>
      </w:r>
      <w:r w:rsidRPr="00BA2E74">
        <w:rPr>
          <w:rFonts w:eastAsiaTheme="minorHAnsi"/>
          <w:b/>
          <w:color w:val="000000" w:themeColor="text1"/>
          <w:sz w:val="20"/>
          <w:szCs w:val="20"/>
        </w:rPr>
        <w:t xml:space="preserve"> </w:t>
      </w:r>
      <w:r w:rsidRPr="00BA2E74">
        <w:rPr>
          <w:rFonts w:eastAsiaTheme="minorHAnsi"/>
          <w:color w:val="000000" w:themeColor="text1"/>
          <w:sz w:val="20"/>
          <w:szCs w:val="20"/>
        </w:rPr>
        <w:tab/>
        <w:t>provide such information, assistance and cooperation and do such things as Company may request to (i) investigate and defend any claim or regulatory investigation; (ii) mitigate, remedy and/or rectify such breach; and (iii) prevent future breaches.</w:t>
      </w:r>
    </w:p>
    <w:p w14:paraId="003D1DCC" w14:textId="77777777" w:rsidR="00A1717C" w:rsidRPr="00BA2E74" w:rsidRDefault="00A1717C" w:rsidP="00A1717C">
      <w:pPr>
        <w:pStyle w:val="p1"/>
        <w:rPr>
          <w:rFonts w:ascii="Tahoma" w:hAnsi="Tahoma" w:cs="Tahoma"/>
          <w:color w:val="000000" w:themeColor="text1"/>
          <w:sz w:val="20"/>
          <w:szCs w:val="20"/>
        </w:rPr>
      </w:pPr>
    </w:p>
    <w:p w14:paraId="48962F08" w14:textId="77777777" w:rsidR="005A049B" w:rsidRPr="00BA2E74" w:rsidRDefault="005A049B" w:rsidP="00B725D2">
      <w:pPr>
        <w:pStyle w:val="p1"/>
        <w:rPr>
          <w:rFonts w:ascii="Tahoma" w:hAnsi="Tahoma" w:cs="Tahoma"/>
          <w:sz w:val="20"/>
          <w:szCs w:val="20"/>
        </w:rPr>
      </w:pPr>
    </w:p>
    <w:sectPr w:rsidR="005A049B" w:rsidRPr="00BA2E74" w:rsidSect="00AD1093">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421FB" w14:textId="77777777" w:rsidR="00571B48" w:rsidRDefault="00571B48" w:rsidP="00E93145">
      <w:pPr>
        <w:spacing w:after="0" w:line="240" w:lineRule="auto"/>
      </w:pPr>
      <w:r>
        <w:separator/>
      </w:r>
    </w:p>
  </w:endnote>
  <w:endnote w:type="continuationSeparator" w:id="0">
    <w:p w14:paraId="4AB599F3" w14:textId="77777777" w:rsidR="00571B48" w:rsidRDefault="00571B48" w:rsidP="00E9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E3B54" w14:textId="77777777" w:rsidR="00571B48" w:rsidRDefault="00571B48" w:rsidP="00E93145">
      <w:pPr>
        <w:spacing w:after="0" w:line="240" w:lineRule="auto"/>
      </w:pPr>
      <w:r>
        <w:separator/>
      </w:r>
    </w:p>
  </w:footnote>
  <w:footnote w:type="continuationSeparator" w:id="0">
    <w:p w14:paraId="7314DB6D" w14:textId="77777777" w:rsidR="00571B48" w:rsidRDefault="00571B48" w:rsidP="00E93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3B21C" w14:textId="79461E4E" w:rsidR="00571B48" w:rsidRDefault="00571B48">
    <w:pPr>
      <w:pStyle w:val="Header"/>
    </w:pPr>
    <w:r>
      <w:rPr>
        <w:noProof/>
        <w:lang w:eastAsia="en-GB"/>
      </w:rPr>
      <w:drawing>
        <wp:anchor distT="0" distB="0" distL="114300" distR="114300" simplePos="0" relativeHeight="251659264" behindDoc="0" locked="0" layoutInCell="1" allowOverlap="1" wp14:anchorId="1205848F" wp14:editId="7F32CFFB">
          <wp:simplePos x="0" y="0"/>
          <wp:positionH relativeFrom="margin">
            <wp:posOffset>3714750</wp:posOffset>
          </wp:positionH>
          <wp:positionV relativeFrom="page">
            <wp:posOffset>325120</wp:posOffset>
          </wp:positionV>
          <wp:extent cx="1998980" cy="44323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443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076"/>
    <w:multiLevelType w:val="multilevel"/>
    <w:tmpl w:val="810AC7BA"/>
    <w:lvl w:ilvl="0">
      <w:start w:val="5"/>
      <w:numFmt w:val="decimal"/>
      <w:lvlText w:val="%1"/>
      <w:lvlJc w:val="left"/>
      <w:pPr>
        <w:ind w:left="360" w:hanging="360"/>
      </w:pPr>
      <w:rPr>
        <w:rFonts w:eastAsia="Times New Roman" w:hint="default"/>
      </w:rPr>
    </w:lvl>
    <w:lvl w:ilvl="1">
      <w:start w:val="1"/>
      <w:numFmt w:val="decimal"/>
      <w:lvlText w:val="%1.%2"/>
      <w:lvlJc w:val="left"/>
      <w:pPr>
        <w:ind w:left="1364" w:hanging="360"/>
      </w:pPr>
      <w:rPr>
        <w:rFonts w:eastAsia="Times New Roman" w:hint="default"/>
      </w:rPr>
    </w:lvl>
    <w:lvl w:ilvl="2">
      <w:start w:val="1"/>
      <w:numFmt w:val="decimal"/>
      <w:lvlText w:val="%1.%2.%3"/>
      <w:lvlJc w:val="left"/>
      <w:pPr>
        <w:ind w:left="2728" w:hanging="720"/>
      </w:pPr>
      <w:rPr>
        <w:rFonts w:eastAsia="Times New Roman" w:hint="default"/>
      </w:rPr>
    </w:lvl>
    <w:lvl w:ilvl="3">
      <w:start w:val="1"/>
      <w:numFmt w:val="decimal"/>
      <w:lvlText w:val="%1.%2.%3.%4"/>
      <w:lvlJc w:val="left"/>
      <w:pPr>
        <w:ind w:left="4092" w:hanging="1080"/>
      </w:pPr>
      <w:rPr>
        <w:rFonts w:eastAsia="Times New Roman" w:hint="default"/>
      </w:rPr>
    </w:lvl>
    <w:lvl w:ilvl="4">
      <w:start w:val="1"/>
      <w:numFmt w:val="decimal"/>
      <w:lvlText w:val="%1.%2.%3.%4.%5"/>
      <w:lvlJc w:val="left"/>
      <w:pPr>
        <w:ind w:left="5096" w:hanging="1080"/>
      </w:pPr>
      <w:rPr>
        <w:rFonts w:eastAsia="Times New Roman" w:hint="default"/>
      </w:rPr>
    </w:lvl>
    <w:lvl w:ilvl="5">
      <w:start w:val="1"/>
      <w:numFmt w:val="decimal"/>
      <w:lvlText w:val="%1.%2.%3.%4.%5.%6"/>
      <w:lvlJc w:val="left"/>
      <w:pPr>
        <w:ind w:left="6460" w:hanging="1440"/>
      </w:pPr>
      <w:rPr>
        <w:rFonts w:eastAsia="Times New Roman" w:hint="default"/>
      </w:rPr>
    </w:lvl>
    <w:lvl w:ilvl="6">
      <w:start w:val="1"/>
      <w:numFmt w:val="decimal"/>
      <w:lvlText w:val="%1.%2.%3.%4.%5.%6.%7"/>
      <w:lvlJc w:val="left"/>
      <w:pPr>
        <w:ind w:left="7464" w:hanging="1440"/>
      </w:pPr>
      <w:rPr>
        <w:rFonts w:eastAsia="Times New Roman" w:hint="default"/>
      </w:rPr>
    </w:lvl>
    <w:lvl w:ilvl="7">
      <w:start w:val="1"/>
      <w:numFmt w:val="decimal"/>
      <w:lvlText w:val="%1.%2.%3.%4.%5.%6.%7.%8"/>
      <w:lvlJc w:val="left"/>
      <w:pPr>
        <w:ind w:left="8828" w:hanging="1800"/>
      </w:pPr>
      <w:rPr>
        <w:rFonts w:eastAsia="Times New Roman" w:hint="default"/>
      </w:rPr>
    </w:lvl>
    <w:lvl w:ilvl="8">
      <w:start w:val="1"/>
      <w:numFmt w:val="decimal"/>
      <w:lvlText w:val="%1.%2.%3.%4.%5.%6.%7.%8.%9"/>
      <w:lvlJc w:val="left"/>
      <w:pPr>
        <w:ind w:left="9832" w:hanging="1800"/>
      </w:pPr>
      <w:rPr>
        <w:rFonts w:eastAsia="Times New Roman" w:hint="default"/>
      </w:rPr>
    </w:lvl>
  </w:abstractNum>
  <w:abstractNum w:abstractNumId="1" w15:restartNumberingAfterBreak="0">
    <w:nsid w:val="10F77462"/>
    <w:multiLevelType w:val="hybridMultilevel"/>
    <w:tmpl w:val="F710B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962987"/>
    <w:multiLevelType w:val="hybridMultilevel"/>
    <w:tmpl w:val="0C0A295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758E0"/>
    <w:multiLevelType w:val="hybridMultilevel"/>
    <w:tmpl w:val="4A5C377A"/>
    <w:lvl w:ilvl="0" w:tplc="2A3EFB2C">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EE5412F"/>
    <w:multiLevelType w:val="multilevel"/>
    <w:tmpl w:val="E53240A6"/>
    <w:lvl w:ilvl="0">
      <w:start w:val="5"/>
      <w:numFmt w:val="decimal"/>
      <w:lvlText w:val="%1"/>
      <w:lvlJc w:val="left"/>
      <w:pPr>
        <w:ind w:left="360" w:hanging="360"/>
      </w:pPr>
      <w:rPr>
        <w:rFonts w:eastAsia="Times New Roman" w:hint="default"/>
        <w:color w:val="212121"/>
      </w:rPr>
    </w:lvl>
    <w:lvl w:ilvl="1">
      <w:start w:val="1"/>
      <w:numFmt w:val="decimal"/>
      <w:lvlText w:val="%1.%2"/>
      <w:lvlJc w:val="left"/>
      <w:pPr>
        <w:ind w:left="1440" w:hanging="360"/>
      </w:pPr>
      <w:rPr>
        <w:rFonts w:eastAsia="Times New Roman" w:hint="default"/>
        <w:color w:val="212121"/>
      </w:rPr>
    </w:lvl>
    <w:lvl w:ilvl="2">
      <w:start w:val="1"/>
      <w:numFmt w:val="decimal"/>
      <w:lvlText w:val="%1.%2.%3"/>
      <w:lvlJc w:val="left"/>
      <w:pPr>
        <w:ind w:left="2880" w:hanging="720"/>
      </w:pPr>
      <w:rPr>
        <w:rFonts w:eastAsia="Times New Roman" w:hint="default"/>
        <w:color w:val="212121"/>
      </w:rPr>
    </w:lvl>
    <w:lvl w:ilvl="3">
      <w:start w:val="1"/>
      <w:numFmt w:val="decimal"/>
      <w:lvlText w:val="%1.%2.%3.%4"/>
      <w:lvlJc w:val="left"/>
      <w:pPr>
        <w:ind w:left="4320" w:hanging="1080"/>
      </w:pPr>
      <w:rPr>
        <w:rFonts w:eastAsia="Times New Roman" w:hint="default"/>
        <w:color w:val="212121"/>
      </w:rPr>
    </w:lvl>
    <w:lvl w:ilvl="4">
      <w:start w:val="1"/>
      <w:numFmt w:val="decimal"/>
      <w:lvlText w:val="%1.%2.%3.%4.%5"/>
      <w:lvlJc w:val="left"/>
      <w:pPr>
        <w:ind w:left="5400" w:hanging="1080"/>
      </w:pPr>
      <w:rPr>
        <w:rFonts w:eastAsia="Times New Roman" w:hint="default"/>
        <w:color w:val="212121"/>
      </w:rPr>
    </w:lvl>
    <w:lvl w:ilvl="5">
      <w:start w:val="1"/>
      <w:numFmt w:val="decimal"/>
      <w:lvlText w:val="%1.%2.%3.%4.%5.%6"/>
      <w:lvlJc w:val="left"/>
      <w:pPr>
        <w:ind w:left="6840" w:hanging="1440"/>
      </w:pPr>
      <w:rPr>
        <w:rFonts w:eastAsia="Times New Roman" w:hint="default"/>
        <w:color w:val="212121"/>
      </w:rPr>
    </w:lvl>
    <w:lvl w:ilvl="6">
      <w:start w:val="1"/>
      <w:numFmt w:val="decimal"/>
      <w:lvlText w:val="%1.%2.%3.%4.%5.%6.%7"/>
      <w:lvlJc w:val="left"/>
      <w:pPr>
        <w:ind w:left="7920" w:hanging="1440"/>
      </w:pPr>
      <w:rPr>
        <w:rFonts w:eastAsia="Times New Roman" w:hint="default"/>
        <w:color w:val="212121"/>
      </w:rPr>
    </w:lvl>
    <w:lvl w:ilvl="7">
      <w:start w:val="1"/>
      <w:numFmt w:val="decimal"/>
      <w:lvlText w:val="%1.%2.%3.%4.%5.%6.%7.%8"/>
      <w:lvlJc w:val="left"/>
      <w:pPr>
        <w:ind w:left="9360" w:hanging="1800"/>
      </w:pPr>
      <w:rPr>
        <w:rFonts w:eastAsia="Times New Roman" w:hint="default"/>
        <w:color w:val="212121"/>
      </w:rPr>
    </w:lvl>
    <w:lvl w:ilvl="8">
      <w:start w:val="1"/>
      <w:numFmt w:val="decimal"/>
      <w:lvlText w:val="%1.%2.%3.%4.%5.%6.%7.%8.%9"/>
      <w:lvlJc w:val="left"/>
      <w:pPr>
        <w:ind w:left="10440" w:hanging="1800"/>
      </w:pPr>
      <w:rPr>
        <w:rFonts w:eastAsia="Times New Roman" w:hint="default"/>
        <w:color w:val="212121"/>
      </w:rPr>
    </w:lvl>
  </w:abstractNum>
  <w:abstractNum w:abstractNumId="5" w15:restartNumberingAfterBreak="0">
    <w:nsid w:val="717A2F34"/>
    <w:multiLevelType w:val="multilevel"/>
    <w:tmpl w:val="15BE8D4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1C"/>
    <w:rsid w:val="000E3FE3"/>
    <w:rsid w:val="00136F1C"/>
    <w:rsid w:val="003F64B8"/>
    <w:rsid w:val="00485D52"/>
    <w:rsid w:val="0051346A"/>
    <w:rsid w:val="00571B48"/>
    <w:rsid w:val="00573AC9"/>
    <w:rsid w:val="005A049B"/>
    <w:rsid w:val="006E0D3E"/>
    <w:rsid w:val="007833AD"/>
    <w:rsid w:val="007E4783"/>
    <w:rsid w:val="00953B16"/>
    <w:rsid w:val="00956FD4"/>
    <w:rsid w:val="009F2AB4"/>
    <w:rsid w:val="00A1717C"/>
    <w:rsid w:val="00A62DE6"/>
    <w:rsid w:val="00AC3B7B"/>
    <w:rsid w:val="00AC5106"/>
    <w:rsid w:val="00AD1093"/>
    <w:rsid w:val="00B725D2"/>
    <w:rsid w:val="00BA2E74"/>
    <w:rsid w:val="00D413F1"/>
    <w:rsid w:val="00D94855"/>
    <w:rsid w:val="00E93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F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F1C"/>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6F1C"/>
    <w:pPr>
      <w:widowControl w:val="0"/>
      <w:autoSpaceDE w:val="0"/>
      <w:autoSpaceDN w:val="0"/>
      <w:spacing w:after="0" w:line="240" w:lineRule="auto"/>
    </w:pPr>
    <w:rPr>
      <w:rFonts w:ascii="Tahoma" w:eastAsia="Tahoma" w:hAnsi="Tahoma" w:cs="Tahoma"/>
      <w:sz w:val="16"/>
      <w:szCs w:val="16"/>
      <w:lang w:val="en-US"/>
    </w:rPr>
  </w:style>
  <w:style w:type="character" w:customStyle="1" w:styleId="BodyTextChar">
    <w:name w:val="Body Text Char"/>
    <w:basedOn w:val="DefaultParagraphFont"/>
    <w:link w:val="BodyText"/>
    <w:uiPriority w:val="1"/>
    <w:rsid w:val="00136F1C"/>
    <w:rPr>
      <w:rFonts w:ascii="Tahoma" w:eastAsia="Tahoma" w:hAnsi="Tahoma" w:cs="Tahoma"/>
      <w:sz w:val="16"/>
      <w:szCs w:val="16"/>
    </w:rPr>
  </w:style>
  <w:style w:type="paragraph" w:customStyle="1" w:styleId="p1">
    <w:name w:val="p1"/>
    <w:basedOn w:val="Normal"/>
    <w:rsid w:val="00136F1C"/>
    <w:pPr>
      <w:spacing w:before="150" w:after="150" w:line="240" w:lineRule="auto"/>
      <w:jc w:val="both"/>
    </w:pPr>
    <w:rPr>
      <w:rFonts w:ascii="Helvetica" w:hAnsi="Helvetica" w:cs="Times New Roman"/>
      <w:sz w:val="15"/>
      <w:szCs w:val="15"/>
      <w:lang w:val="en-US"/>
    </w:rPr>
  </w:style>
  <w:style w:type="paragraph" w:customStyle="1" w:styleId="p2">
    <w:name w:val="p2"/>
    <w:basedOn w:val="Normal"/>
    <w:rsid w:val="00136F1C"/>
    <w:pPr>
      <w:spacing w:after="0" w:line="240" w:lineRule="auto"/>
      <w:jc w:val="both"/>
    </w:pPr>
    <w:rPr>
      <w:rFonts w:ascii="Helvetica" w:hAnsi="Helvetica" w:cs="Times New Roman"/>
      <w:sz w:val="15"/>
      <w:szCs w:val="15"/>
      <w:lang w:val="en-US"/>
    </w:rPr>
  </w:style>
  <w:style w:type="paragraph" w:styleId="Header">
    <w:name w:val="header"/>
    <w:basedOn w:val="Normal"/>
    <w:link w:val="HeaderChar"/>
    <w:uiPriority w:val="99"/>
    <w:unhideWhenUsed/>
    <w:rsid w:val="00E93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145"/>
    <w:rPr>
      <w:sz w:val="22"/>
      <w:szCs w:val="22"/>
      <w:lang w:val="en-GB"/>
    </w:rPr>
  </w:style>
  <w:style w:type="paragraph" w:styleId="Footer">
    <w:name w:val="footer"/>
    <w:basedOn w:val="Normal"/>
    <w:link w:val="FooterChar"/>
    <w:uiPriority w:val="99"/>
    <w:unhideWhenUsed/>
    <w:rsid w:val="00E93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145"/>
    <w:rPr>
      <w:sz w:val="22"/>
      <w:szCs w:val="22"/>
      <w:lang w:val="en-GB"/>
    </w:rPr>
  </w:style>
  <w:style w:type="paragraph" w:styleId="ListParagraph">
    <w:name w:val="List Paragraph"/>
    <w:basedOn w:val="Normal"/>
    <w:uiPriority w:val="34"/>
    <w:qFormat/>
    <w:rsid w:val="00A1717C"/>
    <w:pPr>
      <w:ind w:left="720"/>
      <w:contextualSpacing/>
    </w:pPr>
  </w:style>
  <w:style w:type="character" w:styleId="CommentReference">
    <w:name w:val="annotation reference"/>
    <w:basedOn w:val="DefaultParagraphFont"/>
    <w:uiPriority w:val="99"/>
    <w:semiHidden/>
    <w:unhideWhenUsed/>
    <w:rsid w:val="003F64B8"/>
    <w:rPr>
      <w:sz w:val="16"/>
      <w:szCs w:val="16"/>
    </w:rPr>
  </w:style>
  <w:style w:type="paragraph" w:styleId="CommentText">
    <w:name w:val="annotation text"/>
    <w:basedOn w:val="Normal"/>
    <w:link w:val="CommentTextChar"/>
    <w:uiPriority w:val="99"/>
    <w:semiHidden/>
    <w:unhideWhenUsed/>
    <w:rsid w:val="003F64B8"/>
    <w:pPr>
      <w:spacing w:line="240" w:lineRule="auto"/>
    </w:pPr>
    <w:rPr>
      <w:sz w:val="20"/>
      <w:szCs w:val="20"/>
    </w:rPr>
  </w:style>
  <w:style w:type="character" w:customStyle="1" w:styleId="CommentTextChar">
    <w:name w:val="Comment Text Char"/>
    <w:basedOn w:val="DefaultParagraphFont"/>
    <w:link w:val="CommentText"/>
    <w:uiPriority w:val="99"/>
    <w:semiHidden/>
    <w:rsid w:val="003F64B8"/>
    <w:rPr>
      <w:sz w:val="20"/>
      <w:szCs w:val="20"/>
      <w:lang w:val="en-GB"/>
    </w:rPr>
  </w:style>
  <w:style w:type="paragraph" w:styleId="CommentSubject">
    <w:name w:val="annotation subject"/>
    <w:basedOn w:val="CommentText"/>
    <w:next w:val="CommentText"/>
    <w:link w:val="CommentSubjectChar"/>
    <w:uiPriority w:val="99"/>
    <w:semiHidden/>
    <w:unhideWhenUsed/>
    <w:rsid w:val="003F64B8"/>
    <w:rPr>
      <w:b/>
      <w:bCs/>
    </w:rPr>
  </w:style>
  <w:style w:type="character" w:customStyle="1" w:styleId="CommentSubjectChar">
    <w:name w:val="Comment Subject Char"/>
    <w:basedOn w:val="CommentTextChar"/>
    <w:link w:val="CommentSubject"/>
    <w:uiPriority w:val="99"/>
    <w:semiHidden/>
    <w:rsid w:val="003F64B8"/>
    <w:rPr>
      <w:b/>
      <w:bCs/>
      <w:sz w:val="20"/>
      <w:szCs w:val="20"/>
      <w:lang w:val="en-GB"/>
    </w:rPr>
  </w:style>
  <w:style w:type="paragraph" w:styleId="BalloonText">
    <w:name w:val="Balloon Text"/>
    <w:basedOn w:val="Normal"/>
    <w:link w:val="BalloonTextChar"/>
    <w:uiPriority w:val="99"/>
    <w:semiHidden/>
    <w:unhideWhenUsed/>
    <w:rsid w:val="003F6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B8"/>
    <w:rPr>
      <w:rFonts w:ascii="Segoe UI" w:hAnsi="Segoe UI" w:cs="Segoe UI"/>
      <w:sz w:val="18"/>
      <w:szCs w:val="18"/>
      <w:lang w:val="en-GB"/>
    </w:rPr>
  </w:style>
  <w:style w:type="character" w:styleId="Hyperlink">
    <w:name w:val="Hyperlink"/>
    <w:basedOn w:val="DefaultParagraphFont"/>
    <w:uiPriority w:val="99"/>
    <w:unhideWhenUsed/>
    <w:rsid w:val="00573A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co.org/gdpr-guidance.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FAD4-6A8E-4C9B-8496-AEFF43FB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92BA8D6</Template>
  <TotalTime>0</TotalTime>
  <Pages>4</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Bowers</dc:creator>
  <cp:keywords/>
  <dc:description/>
  <cp:lastModifiedBy>Josefine Lindeberg</cp:lastModifiedBy>
  <cp:revision>3</cp:revision>
  <dcterms:created xsi:type="dcterms:W3CDTF">2018-09-27T14:54:00Z</dcterms:created>
  <dcterms:modified xsi:type="dcterms:W3CDTF">2018-09-27T14:54:00Z</dcterms:modified>
</cp:coreProperties>
</file>